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9F5" w:rsidRPr="00544B86" w:rsidRDefault="00D159F5" w:rsidP="000820DF">
      <w:pPr>
        <w:autoSpaceDE w:val="0"/>
        <w:autoSpaceDN w:val="0"/>
        <w:adjustRightInd w:val="0"/>
        <w:spacing w:after="0" w:line="240" w:lineRule="auto"/>
        <w:jc w:val="center"/>
        <w:rPr>
          <w:rFonts w:ascii="Arial" w:hAnsi="Arial" w:cs="Arial"/>
          <w:b/>
          <w:sz w:val="24"/>
          <w:szCs w:val="24"/>
        </w:rPr>
      </w:pPr>
      <w:r w:rsidRPr="00544B86">
        <w:rPr>
          <w:rFonts w:ascii="Arial" w:hAnsi="Arial" w:cs="Arial"/>
          <w:b/>
          <w:sz w:val="24"/>
          <w:szCs w:val="24"/>
        </w:rPr>
        <w:t>EAHR 811 Response</w:t>
      </w:r>
      <w:r w:rsidR="000407CB">
        <w:rPr>
          <w:rFonts w:ascii="Arial" w:hAnsi="Arial" w:cs="Arial"/>
          <w:b/>
          <w:sz w:val="24"/>
          <w:szCs w:val="24"/>
        </w:rPr>
        <w:t xml:space="preserve"> </w:t>
      </w:r>
      <w:r w:rsidRPr="00544B86">
        <w:rPr>
          <w:rFonts w:ascii="Arial" w:hAnsi="Arial" w:cs="Arial"/>
          <w:b/>
          <w:sz w:val="24"/>
          <w:szCs w:val="24"/>
        </w:rPr>
        <w:t xml:space="preserve">– </w:t>
      </w:r>
      <w:r w:rsidR="000820DF">
        <w:rPr>
          <w:rFonts w:ascii="Arial" w:hAnsi="Arial" w:cs="Arial"/>
          <w:b/>
          <w:sz w:val="24"/>
          <w:szCs w:val="24"/>
        </w:rPr>
        <w:t xml:space="preserve">Chapters </w:t>
      </w:r>
      <w:r w:rsidR="00804E6C">
        <w:rPr>
          <w:rFonts w:ascii="Arial" w:hAnsi="Arial" w:cs="Arial"/>
          <w:b/>
          <w:sz w:val="24"/>
          <w:szCs w:val="24"/>
        </w:rPr>
        <w:t xml:space="preserve">7, 8 </w:t>
      </w:r>
      <w:r w:rsidR="000820DF">
        <w:rPr>
          <w:rFonts w:ascii="Arial" w:hAnsi="Arial" w:cs="Arial"/>
          <w:b/>
          <w:sz w:val="24"/>
          <w:szCs w:val="24"/>
        </w:rPr>
        <w:t xml:space="preserve">and </w:t>
      </w:r>
      <w:r w:rsidR="00804E6C">
        <w:rPr>
          <w:rFonts w:ascii="Arial" w:hAnsi="Arial" w:cs="Arial"/>
          <w:b/>
          <w:sz w:val="24"/>
          <w:szCs w:val="24"/>
        </w:rPr>
        <w:t>9</w:t>
      </w:r>
    </w:p>
    <w:p w:rsidR="00D159F5" w:rsidRPr="00D159F5" w:rsidRDefault="00D159F5" w:rsidP="00D159F5">
      <w:pPr>
        <w:autoSpaceDE w:val="0"/>
        <w:autoSpaceDN w:val="0"/>
        <w:adjustRightInd w:val="0"/>
        <w:spacing w:after="0" w:line="240" w:lineRule="auto"/>
        <w:jc w:val="center"/>
        <w:rPr>
          <w:rFonts w:ascii="Arial" w:hAnsi="Arial" w:cs="Arial"/>
          <w:sz w:val="24"/>
          <w:szCs w:val="24"/>
        </w:rPr>
      </w:pPr>
    </w:p>
    <w:p w:rsidR="000820DF" w:rsidRDefault="00FE1371" w:rsidP="00FE1371">
      <w:pPr>
        <w:autoSpaceDE w:val="0"/>
        <w:autoSpaceDN w:val="0"/>
        <w:adjustRightInd w:val="0"/>
        <w:spacing w:after="0" w:line="240" w:lineRule="auto"/>
        <w:rPr>
          <w:rFonts w:ascii="Arial" w:hAnsi="Arial" w:cs="Arial"/>
          <w:b/>
          <w:sz w:val="24"/>
          <w:szCs w:val="24"/>
        </w:rPr>
      </w:pPr>
      <w:r w:rsidRPr="00FE1371">
        <w:rPr>
          <w:rFonts w:ascii="Arial" w:hAnsi="Arial" w:cs="Arial"/>
          <w:b/>
          <w:sz w:val="24"/>
          <w:szCs w:val="24"/>
        </w:rPr>
        <w:t>SQ3R Technique</w:t>
      </w:r>
    </w:p>
    <w:p w:rsidR="00492903" w:rsidRPr="000820DF" w:rsidRDefault="000820DF" w:rsidP="00FE1371">
      <w:pPr>
        <w:autoSpaceDE w:val="0"/>
        <w:autoSpaceDN w:val="0"/>
        <w:adjustRightInd w:val="0"/>
        <w:spacing w:after="0" w:line="240" w:lineRule="auto"/>
        <w:rPr>
          <w:rFonts w:ascii="Arial" w:hAnsi="Arial" w:cs="Arial"/>
          <w:b/>
          <w:sz w:val="24"/>
          <w:szCs w:val="24"/>
        </w:rPr>
      </w:pPr>
      <w:r>
        <w:rPr>
          <w:rFonts w:ascii="Arial" w:hAnsi="Arial" w:cs="Arial"/>
          <w:sz w:val="24"/>
          <w:szCs w:val="24"/>
        </w:rPr>
        <w:t>A</w:t>
      </w:r>
      <w:r w:rsidR="00D159F5">
        <w:rPr>
          <w:rFonts w:ascii="Arial" w:hAnsi="Arial" w:cs="Arial"/>
          <w:sz w:val="24"/>
          <w:szCs w:val="24"/>
        </w:rPr>
        <w:t>s I began to survey and question</w:t>
      </w:r>
      <w:r w:rsidR="00492903">
        <w:rPr>
          <w:rFonts w:ascii="Arial" w:hAnsi="Arial" w:cs="Arial"/>
          <w:sz w:val="24"/>
          <w:szCs w:val="24"/>
        </w:rPr>
        <w:t xml:space="preserve"> </w:t>
      </w:r>
      <w:r w:rsidR="00804E6C">
        <w:rPr>
          <w:rFonts w:ascii="Arial" w:hAnsi="Arial" w:cs="Arial"/>
          <w:sz w:val="24"/>
          <w:szCs w:val="24"/>
        </w:rPr>
        <w:t xml:space="preserve">the three chapters, </w:t>
      </w:r>
      <w:r w:rsidR="00544B86">
        <w:rPr>
          <w:rFonts w:ascii="Arial" w:hAnsi="Arial" w:cs="Arial"/>
          <w:sz w:val="24"/>
          <w:szCs w:val="24"/>
        </w:rPr>
        <w:t>I generated several questions</w:t>
      </w:r>
      <w:r w:rsidR="005E60F2">
        <w:rPr>
          <w:rFonts w:ascii="Arial" w:hAnsi="Arial" w:cs="Arial"/>
          <w:sz w:val="24"/>
          <w:szCs w:val="24"/>
        </w:rPr>
        <w:t xml:space="preserve"> for myself</w:t>
      </w:r>
      <w:r w:rsidR="00544B86">
        <w:rPr>
          <w:rFonts w:ascii="Arial" w:hAnsi="Arial" w:cs="Arial"/>
          <w:sz w:val="24"/>
          <w:szCs w:val="24"/>
        </w:rPr>
        <w:t xml:space="preserve">.  </w:t>
      </w:r>
      <w:r w:rsidR="00755958">
        <w:rPr>
          <w:rFonts w:ascii="Arial" w:hAnsi="Arial" w:cs="Arial"/>
          <w:sz w:val="24"/>
          <w:szCs w:val="24"/>
        </w:rPr>
        <w:t>From chapter seven, m</w:t>
      </w:r>
      <w:r w:rsidR="00492903">
        <w:rPr>
          <w:rFonts w:ascii="Arial" w:hAnsi="Arial" w:cs="Arial"/>
          <w:sz w:val="24"/>
          <w:szCs w:val="24"/>
        </w:rPr>
        <w:t>y main questions were</w:t>
      </w:r>
      <w:r w:rsidR="00FE3B62">
        <w:rPr>
          <w:rFonts w:ascii="Arial" w:hAnsi="Arial" w:cs="Arial"/>
          <w:sz w:val="24"/>
          <w:szCs w:val="24"/>
        </w:rPr>
        <w:t xml:space="preserve"> </w:t>
      </w:r>
      <w:r w:rsidR="00A652C3">
        <w:rPr>
          <w:rFonts w:ascii="Arial" w:hAnsi="Arial" w:cs="Arial"/>
          <w:sz w:val="24"/>
          <w:szCs w:val="24"/>
        </w:rPr>
        <w:t xml:space="preserve">how has the expertise-oriented evaluation approach been used and what are the strengths and limitations of the expertise-oriented evaluation approach.  </w:t>
      </w:r>
      <w:r w:rsidR="00DB3E56">
        <w:rPr>
          <w:rFonts w:ascii="Arial" w:hAnsi="Arial" w:cs="Arial"/>
          <w:sz w:val="24"/>
          <w:szCs w:val="24"/>
        </w:rPr>
        <w:t>From chapter eight,</w:t>
      </w:r>
      <w:r w:rsidR="00F11CCB">
        <w:rPr>
          <w:rFonts w:ascii="Arial" w:hAnsi="Arial" w:cs="Arial"/>
          <w:sz w:val="24"/>
          <w:szCs w:val="24"/>
        </w:rPr>
        <w:t xml:space="preserve"> </w:t>
      </w:r>
      <w:r w:rsidR="00C867E0">
        <w:rPr>
          <w:rFonts w:ascii="Arial" w:hAnsi="Arial" w:cs="Arial"/>
          <w:sz w:val="24"/>
          <w:szCs w:val="24"/>
        </w:rPr>
        <w:t xml:space="preserve">I had many questions but </w:t>
      </w:r>
      <w:r w:rsidR="00F11CCB">
        <w:rPr>
          <w:rFonts w:ascii="Arial" w:hAnsi="Arial" w:cs="Arial"/>
          <w:sz w:val="24"/>
          <w:szCs w:val="24"/>
        </w:rPr>
        <w:t xml:space="preserve">my </w:t>
      </w:r>
      <w:r w:rsidR="00C867E0">
        <w:rPr>
          <w:rFonts w:ascii="Arial" w:hAnsi="Arial" w:cs="Arial"/>
          <w:sz w:val="24"/>
          <w:szCs w:val="24"/>
        </w:rPr>
        <w:t xml:space="preserve">main </w:t>
      </w:r>
      <w:r w:rsidR="00F11CCB">
        <w:rPr>
          <w:rFonts w:ascii="Arial" w:hAnsi="Arial" w:cs="Arial"/>
          <w:sz w:val="24"/>
          <w:szCs w:val="24"/>
        </w:rPr>
        <w:t xml:space="preserve">question was what is the Stake’s Countenance Framework?  </w:t>
      </w:r>
      <w:r w:rsidR="00C867E0">
        <w:rPr>
          <w:rFonts w:ascii="Arial" w:hAnsi="Arial" w:cs="Arial"/>
          <w:sz w:val="24"/>
          <w:szCs w:val="24"/>
        </w:rPr>
        <w:t xml:space="preserve">Lastly in chapter nine, </w:t>
      </w:r>
      <w:r w:rsidR="00CB3D01">
        <w:rPr>
          <w:rFonts w:ascii="Arial" w:hAnsi="Arial" w:cs="Arial"/>
          <w:sz w:val="24"/>
          <w:szCs w:val="24"/>
        </w:rPr>
        <w:t xml:space="preserve">I was intrigued by the comparative analysis of the alternative evaluation approaches of that analysis what is the purpose of each evaluation approach and what are the distinguishing characteristics.  </w:t>
      </w:r>
      <w:r w:rsidR="00A309EC">
        <w:rPr>
          <w:rFonts w:ascii="Arial" w:hAnsi="Arial" w:cs="Arial"/>
          <w:sz w:val="24"/>
          <w:szCs w:val="24"/>
        </w:rPr>
        <w:t>As I a</w:t>
      </w:r>
      <w:r w:rsidR="00492903">
        <w:rPr>
          <w:rFonts w:ascii="Arial" w:hAnsi="Arial" w:cs="Arial"/>
          <w:sz w:val="24"/>
          <w:szCs w:val="24"/>
        </w:rPr>
        <w:t xml:space="preserve">ctively </w:t>
      </w:r>
      <w:r w:rsidR="00D159F5">
        <w:rPr>
          <w:rFonts w:ascii="Arial" w:hAnsi="Arial" w:cs="Arial"/>
          <w:sz w:val="24"/>
          <w:szCs w:val="24"/>
        </w:rPr>
        <w:t xml:space="preserve">read through the </w:t>
      </w:r>
      <w:r>
        <w:rPr>
          <w:rFonts w:ascii="Arial" w:hAnsi="Arial" w:cs="Arial"/>
          <w:sz w:val="24"/>
          <w:szCs w:val="24"/>
        </w:rPr>
        <w:t>chapters</w:t>
      </w:r>
      <w:r w:rsidR="00A309EC">
        <w:rPr>
          <w:rFonts w:ascii="Arial" w:hAnsi="Arial" w:cs="Arial"/>
          <w:sz w:val="24"/>
          <w:szCs w:val="24"/>
        </w:rPr>
        <w:t xml:space="preserve"> and began making comparisons to previous knowledge and readings</w:t>
      </w:r>
      <w:r>
        <w:rPr>
          <w:rFonts w:ascii="Arial" w:hAnsi="Arial" w:cs="Arial"/>
          <w:sz w:val="24"/>
          <w:szCs w:val="24"/>
        </w:rPr>
        <w:t xml:space="preserve">, </w:t>
      </w:r>
      <w:r w:rsidR="00492903">
        <w:rPr>
          <w:rFonts w:ascii="Arial" w:hAnsi="Arial" w:cs="Arial"/>
          <w:sz w:val="24"/>
          <w:szCs w:val="24"/>
        </w:rPr>
        <w:t xml:space="preserve">I began to find the answers to my questions.  </w:t>
      </w:r>
    </w:p>
    <w:p w:rsidR="00492903" w:rsidRDefault="00492903" w:rsidP="00492903">
      <w:pPr>
        <w:autoSpaceDE w:val="0"/>
        <w:autoSpaceDN w:val="0"/>
        <w:adjustRightInd w:val="0"/>
        <w:spacing w:after="0" w:line="240" w:lineRule="auto"/>
        <w:rPr>
          <w:rFonts w:ascii="Arial" w:hAnsi="Arial" w:cs="Arial"/>
          <w:sz w:val="24"/>
          <w:szCs w:val="24"/>
        </w:rPr>
      </w:pPr>
    </w:p>
    <w:p w:rsidR="00954EEC" w:rsidRDefault="00A652C3" w:rsidP="00954EEC">
      <w:pPr>
        <w:autoSpaceDE w:val="0"/>
        <w:autoSpaceDN w:val="0"/>
        <w:adjustRightInd w:val="0"/>
        <w:spacing w:after="0" w:line="240" w:lineRule="auto"/>
        <w:rPr>
          <w:rFonts w:ascii="Arial" w:hAnsi="Arial" w:cs="Arial"/>
          <w:b/>
          <w:sz w:val="24"/>
          <w:szCs w:val="24"/>
        </w:rPr>
      </w:pPr>
      <w:r>
        <w:rPr>
          <w:rFonts w:ascii="Arial" w:hAnsi="Arial" w:cs="Arial"/>
          <w:b/>
          <w:sz w:val="24"/>
          <w:szCs w:val="24"/>
        </w:rPr>
        <w:t>How has the Expertise-Oriented Evaluation Approach been used?</w:t>
      </w:r>
    </w:p>
    <w:p w:rsidR="00A652C3" w:rsidRDefault="00A652C3" w:rsidP="009726DC">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This evaluation approach has been used by national and regional accreditation agencies.  Accreditation can be divided into two types:  institutional and specialized or program accreditation.  Specialized accreditation processes are said to be more specific, rigorous, and prescriptive than those used in institutional accreditation (p. 122).  Specialized accreditation bodies are national in scope and known as major multipurpose professional associations.  By contrast, institutional accreditation is generally regional and conducted by agencies that exist solely for that purpose.  </w:t>
      </w:r>
    </w:p>
    <w:p w:rsidR="00A652C3" w:rsidRDefault="00A652C3" w:rsidP="009726DC">
      <w:pPr>
        <w:autoSpaceDE w:val="0"/>
        <w:autoSpaceDN w:val="0"/>
        <w:adjustRightInd w:val="0"/>
        <w:spacing w:after="0" w:line="240" w:lineRule="auto"/>
        <w:rPr>
          <w:rFonts w:ascii="Arial" w:hAnsi="Arial" w:cs="Arial"/>
          <w:sz w:val="24"/>
          <w:szCs w:val="24"/>
        </w:rPr>
      </w:pPr>
    </w:p>
    <w:p w:rsidR="00A652C3" w:rsidRPr="00A652C3" w:rsidRDefault="00A652C3" w:rsidP="009726DC">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House </w:t>
      </w:r>
      <w:r w:rsidR="002F3A8C">
        <w:rPr>
          <w:rFonts w:ascii="Arial" w:hAnsi="Arial" w:cs="Arial"/>
          <w:sz w:val="24"/>
          <w:szCs w:val="24"/>
        </w:rPr>
        <w:t>notes several</w:t>
      </w:r>
      <w:r>
        <w:rPr>
          <w:rFonts w:ascii="Arial" w:hAnsi="Arial" w:cs="Arial"/>
          <w:sz w:val="24"/>
          <w:szCs w:val="24"/>
        </w:rPr>
        <w:t xml:space="preserve"> </w:t>
      </w:r>
      <w:r w:rsidR="002F3A8C">
        <w:rPr>
          <w:rFonts w:ascii="Arial" w:hAnsi="Arial" w:cs="Arial"/>
          <w:sz w:val="24"/>
          <w:szCs w:val="24"/>
        </w:rPr>
        <w:t>other uses of the expertise-oriented evaluation including university internal-review systems of colleges, departments, and programs and peer reviews by governmental agencies.  These professional reviews were used for several internal decisions and reallocating funds and deflected the possibilities of reviews by higher education boards</w:t>
      </w:r>
      <w:r w:rsidR="007C77F0">
        <w:rPr>
          <w:rFonts w:ascii="Arial" w:hAnsi="Arial" w:cs="Arial"/>
          <w:sz w:val="24"/>
          <w:szCs w:val="24"/>
        </w:rPr>
        <w:t xml:space="preserve">.  Panels of prestigious educators have also been used to evaluate agencies producing research and developmental awards.  </w:t>
      </w:r>
    </w:p>
    <w:p w:rsidR="007C77F0" w:rsidRDefault="007C77F0" w:rsidP="00D1239F">
      <w:pPr>
        <w:autoSpaceDE w:val="0"/>
        <w:autoSpaceDN w:val="0"/>
        <w:adjustRightInd w:val="0"/>
        <w:spacing w:after="0" w:line="240" w:lineRule="auto"/>
        <w:rPr>
          <w:rFonts w:ascii="Arial" w:hAnsi="Arial" w:cs="Arial"/>
          <w:sz w:val="24"/>
          <w:szCs w:val="24"/>
        </w:rPr>
      </w:pPr>
    </w:p>
    <w:p w:rsidR="007C77F0" w:rsidRPr="007C77F0" w:rsidRDefault="007C77F0" w:rsidP="00D1239F">
      <w:pPr>
        <w:autoSpaceDE w:val="0"/>
        <w:autoSpaceDN w:val="0"/>
        <w:adjustRightInd w:val="0"/>
        <w:spacing w:after="0" w:line="240" w:lineRule="auto"/>
        <w:rPr>
          <w:rFonts w:ascii="Arial" w:hAnsi="Arial" w:cs="Arial"/>
          <w:b/>
          <w:sz w:val="24"/>
          <w:szCs w:val="24"/>
        </w:rPr>
      </w:pPr>
      <w:r w:rsidRPr="007C77F0">
        <w:rPr>
          <w:rFonts w:ascii="Arial" w:hAnsi="Arial" w:cs="Arial"/>
          <w:b/>
          <w:sz w:val="24"/>
          <w:szCs w:val="24"/>
        </w:rPr>
        <w:t>What are the Strengths and Limitations of the Expertise-Oriented Evaluation Approach?</w:t>
      </w:r>
    </w:p>
    <w:tbl>
      <w:tblPr>
        <w:tblStyle w:val="TableGrid"/>
        <w:tblW w:w="0" w:type="auto"/>
        <w:tblLook w:val="04A0"/>
      </w:tblPr>
      <w:tblGrid>
        <w:gridCol w:w="4788"/>
        <w:gridCol w:w="4788"/>
      </w:tblGrid>
      <w:tr w:rsidR="007C77F0" w:rsidRPr="00DB3E56" w:rsidTr="00DB3E56">
        <w:tc>
          <w:tcPr>
            <w:tcW w:w="4788" w:type="dxa"/>
            <w:shd w:val="clear" w:color="auto" w:fill="DDD9C3" w:themeFill="background2" w:themeFillShade="E6"/>
          </w:tcPr>
          <w:p w:rsidR="007C77F0" w:rsidRPr="00DB3E56" w:rsidRDefault="007C77F0" w:rsidP="00DB3E56">
            <w:pPr>
              <w:autoSpaceDE w:val="0"/>
              <w:autoSpaceDN w:val="0"/>
              <w:adjustRightInd w:val="0"/>
              <w:jc w:val="center"/>
              <w:rPr>
                <w:rFonts w:ascii="Arial" w:hAnsi="Arial" w:cs="Arial"/>
                <w:b/>
                <w:sz w:val="24"/>
                <w:szCs w:val="24"/>
              </w:rPr>
            </w:pPr>
            <w:r w:rsidRPr="00DB3E56">
              <w:rPr>
                <w:rFonts w:ascii="Arial" w:hAnsi="Arial" w:cs="Arial"/>
                <w:b/>
                <w:sz w:val="24"/>
                <w:szCs w:val="24"/>
              </w:rPr>
              <w:t>Strengths</w:t>
            </w:r>
          </w:p>
        </w:tc>
        <w:tc>
          <w:tcPr>
            <w:tcW w:w="4788" w:type="dxa"/>
            <w:shd w:val="clear" w:color="auto" w:fill="DDD9C3" w:themeFill="background2" w:themeFillShade="E6"/>
          </w:tcPr>
          <w:p w:rsidR="007C77F0" w:rsidRPr="00DB3E56" w:rsidRDefault="007C77F0" w:rsidP="00DB3E56">
            <w:pPr>
              <w:autoSpaceDE w:val="0"/>
              <w:autoSpaceDN w:val="0"/>
              <w:adjustRightInd w:val="0"/>
              <w:jc w:val="center"/>
              <w:rPr>
                <w:rFonts w:ascii="Arial" w:hAnsi="Arial" w:cs="Arial"/>
                <w:b/>
                <w:sz w:val="24"/>
                <w:szCs w:val="24"/>
              </w:rPr>
            </w:pPr>
            <w:r w:rsidRPr="00DB3E56">
              <w:rPr>
                <w:rFonts w:ascii="Arial" w:hAnsi="Arial" w:cs="Arial"/>
                <w:b/>
                <w:sz w:val="24"/>
                <w:szCs w:val="24"/>
              </w:rPr>
              <w:t>Limitations</w:t>
            </w:r>
          </w:p>
        </w:tc>
      </w:tr>
      <w:tr w:rsidR="00AA3B44" w:rsidRPr="00C928A6" w:rsidTr="007C77F0">
        <w:tc>
          <w:tcPr>
            <w:tcW w:w="4788" w:type="dxa"/>
          </w:tcPr>
          <w:p w:rsidR="00AA3B44" w:rsidRPr="00C928A6" w:rsidRDefault="00AA3B44" w:rsidP="00E95AB6">
            <w:pPr>
              <w:autoSpaceDE w:val="0"/>
              <w:autoSpaceDN w:val="0"/>
              <w:adjustRightInd w:val="0"/>
              <w:rPr>
                <w:rFonts w:ascii="Arial" w:hAnsi="Arial" w:cs="Arial"/>
                <w:b/>
                <w:sz w:val="24"/>
                <w:szCs w:val="24"/>
              </w:rPr>
            </w:pPr>
            <w:r w:rsidRPr="00C928A6">
              <w:rPr>
                <w:rFonts w:ascii="Arial" w:hAnsi="Arial" w:cs="Arial"/>
                <w:b/>
                <w:sz w:val="24"/>
                <w:szCs w:val="24"/>
              </w:rPr>
              <w:t>Accreditation</w:t>
            </w:r>
          </w:p>
        </w:tc>
        <w:tc>
          <w:tcPr>
            <w:tcW w:w="4788" w:type="dxa"/>
          </w:tcPr>
          <w:p w:rsidR="00AA3B44" w:rsidRPr="00C928A6" w:rsidRDefault="00AA3B44" w:rsidP="00AA3B44">
            <w:pPr>
              <w:autoSpaceDE w:val="0"/>
              <w:autoSpaceDN w:val="0"/>
              <w:adjustRightInd w:val="0"/>
              <w:rPr>
                <w:rFonts w:ascii="Arial" w:hAnsi="Arial" w:cs="Arial"/>
                <w:b/>
                <w:sz w:val="24"/>
                <w:szCs w:val="24"/>
              </w:rPr>
            </w:pPr>
            <w:r w:rsidRPr="00C928A6">
              <w:rPr>
                <w:rFonts w:ascii="Arial" w:hAnsi="Arial" w:cs="Arial"/>
                <w:b/>
                <w:sz w:val="24"/>
                <w:szCs w:val="24"/>
              </w:rPr>
              <w:t>Accreditation</w:t>
            </w:r>
          </w:p>
        </w:tc>
      </w:tr>
      <w:tr w:rsidR="007C77F0" w:rsidTr="007C77F0">
        <w:tc>
          <w:tcPr>
            <w:tcW w:w="4788" w:type="dxa"/>
          </w:tcPr>
          <w:p w:rsidR="007C77F0" w:rsidRPr="00AA3B44" w:rsidRDefault="00AA3B44" w:rsidP="00AA3B44">
            <w:pPr>
              <w:pStyle w:val="ListParagraph"/>
              <w:numPr>
                <w:ilvl w:val="0"/>
                <w:numId w:val="17"/>
              </w:numPr>
              <w:autoSpaceDE w:val="0"/>
              <w:autoSpaceDN w:val="0"/>
              <w:adjustRightInd w:val="0"/>
              <w:rPr>
                <w:rFonts w:ascii="Arial" w:hAnsi="Arial" w:cs="Arial"/>
                <w:sz w:val="24"/>
                <w:szCs w:val="24"/>
              </w:rPr>
            </w:pPr>
            <w:r>
              <w:rPr>
                <w:rFonts w:ascii="Arial" w:hAnsi="Arial" w:cs="Arial"/>
                <w:sz w:val="24"/>
                <w:szCs w:val="24"/>
              </w:rPr>
              <w:t>Fosters excellence in education through criteria and guideline development</w:t>
            </w:r>
          </w:p>
        </w:tc>
        <w:tc>
          <w:tcPr>
            <w:tcW w:w="4788" w:type="dxa"/>
          </w:tcPr>
          <w:p w:rsidR="007C77F0" w:rsidRPr="007C77F0" w:rsidRDefault="007C77F0" w:rsidP="007C77F0">
            <w:pPr>
              <w:pStyle w:val="ListParagraph"/>
              <w:numPr>
                <w:ilvl w:val="0"/>
                <w:numId w:val="17"/>
              </w:numPr>
              <w:autoSpaceDE w:val="0"/>
              <w:autoSpaceDN w:val="0"/>
              <w:adjustRightInd w:val="0"/>
              <w:rPr>
                <w:rFonts w:ascii="Arial" w:hAnsi="Arial" w:cs="Arial"/>
                <w:sz w:val="24"/>
                <w:szCs w:val="24"/>
              </w:rPr>
            </w:pPr>
            <w:r>
              <w:rPr>
                <w:rFonts w:ascii="Arial" w:hAnsi="Arial" w:cs="Arial"/>
                <w:sz w:val="24"/>
                <w:szCs w:val="24"/>
              </w:rPr>
              <w:t>Too expensive to operate under current budgets</w:t>
            </w:r>
          </w:p>
        </w:tc>
      </w:tr>
      <w:tr w:rsidR="007C77F0" w:rsidTr="007C77F0">
        <w:tc>
          <w:tcPr>
            <w:tcW w:w="4788" w:type="dxa"/>
          </w:tcPr>
          <w:p w:rsidR="007C77F0" w:rsidRPr="00AA3B44" w:rsidRDefault="00AA3B44" w:rsidP="00AA3B44">
            <w:pPr>
              <w:pStyle w:val="ListParagraph"/>
              <w:numPr>
                <w:ilvl w:val="0"/>
                <w:numId w:val="17"/>
              </w:numPr>
              <w:autoSpaceDE w:val="0"/>
              <w:autoSpaceDN w:val="0"/>
              <w:adjustRightInd w:val="0"/>
              <w:rPr>
                <w:rFonts w:ascii="Arial" w:hAnsi="Arial" w:cs="Arial"/>
                <w:sz w:val="24"/>
                <w:szCs w:val="24"/>
              </w:rPr>
            </w:pPr>
            <w:r>
              <w:rPr>
                <w:rFonts w:ascii="Arial" w:hAnsi="Arial" w:cs="Arial"/>
                <w:sz w:val="24"/>
                <w:szCs w:val="24"/>
              </w:rPr>
              <w:t>Encourages institutional improvement through continual self-study and evaluation</w:t>
            </w:r>
          </w:p>
        </w:tc>
        <w:tc>
          <w:tcPr>
            <w:tcW w:w="4788" w:type="dxa"/>
          </w:tcPr>
          <w:p w:rsidR="007C77F0" w:rsidRPr="007C77F0" w:rsidRDefault="007C77F0" w:rsidP="007C77F0">
            <w:pPr>
              <w:pStyle w:val="ListParagraph"/>
              <w:numPr>
                <w:ilvl w:val="0"/>
                <w:numId w:val="17"/>
              </w:numPr>
              <w:autoSpaceDE w:val="0"/>
              <w:autoSpaceDN w:val="0"/>
              <w:adjustRightInd w:val="0"/>
              <w:rPr>
                <w:rFonts w:ascii="Arial" w:hAnsi="Arial" w:cs="Arial"/>
                <w:sz w:val="24"/>
                <w:szCs w:val="24"/>
              </w:rPr>
            </w:pPr>
            <w:r>
              <w:rPr>
                <w:rFonts w:ascii="Arial" w:hAnsi="Arial" w:cs="Arial"/>
                <w:sz w:val="24"/>
                <w:szCs w:val="24"/>
              </w:rPr>
              <w:t>Not efficient</w:t>
            </w:r>
          </w:p>
        </w:tc>
      </w:tr>
      <w:tr w:rsidR="007C77F0" w:rsidTr="007C77F0">
        <w:tc>
          <w:tcPr>
            <w:tcW w:w="4788" w:type="dxa"/>
          </w:tcPr>
          <w:p w:rsidR="007C77F0" w:rsidRPr="00AA3B44" w:rsidRDefault="00AA3B44" w:rsidP="00AA3B44">
            <w:pPr>
              <w:pStyle w:val="ListParagraph"/>
              <w:numPr>
                <w:ilvl w:val="0"/>
                <w:numId w:val="17"/>
              </w:numPr>
              <w:autoSpaceDE w:val="0"/>
              <w:autoSpaceDN w:val="0"/>
              <w:adjustRightInd w:val="0"/>
              <w:rPr>
                <w:rFonts w:ascii="Arial" w:hAnsi="Arial" w:cs="Arial"/>
                <w:sz w:val="24"/>
                <w:szCs w:val="24"/>
              </w:rPr>
            </w:pPr>
            <w:r w:rsidRPr="00AA3B44">
              <w:rPr>
                <w:rFonts w:ascii="Arial" w:hAnsi="Arial" w:cs="Arial"/>
                <w:sz w:val="24"/>
                <w:szCs w:val="24"/>
              </w:rPr>
              <w:t>Assures clearly defined and appropriate educational objectives</w:t>
            </w:r>
          </w:p>
        </w:tc>
        <w:tc>
          <w:tcPr>
            <w:tcW w:w="4788" w:type="dxa"/>
          </w:tcPr>
          <w:p w:rsidR="007C77F0" w:rsidRPr="007C77F0" w:rsidRDefault="007C77F0" w:rsidP="007C77F0">
            <w:pPr>
              <w:pStyle w:val="ListParagraph"/>
              <w:numPr>
                <w:ilvl w:val="0"/>
                <w:numId w:val="17"/>
              </w:numPr>
              <w:autoSpaceDE w:val="0"/>
              <w:autoSpaceDN w:val="0"/>
              <w:adjustRightInd w:val="0"/>
              <w:rPr>
                <w:rFonts w:ascii="Arial" w:hAnsi="Arial" w:cs="Arial"/>
                <w:sz w:val="24"/>
                <w:szCs w:val="24"/>
              </w:rPr>
            </w:pPr>
            <w:r>
              <w:rPr>
                <w:rFonts w:ascii="Arial" w:hAnsi="Arial" w:cs="Arial"/>
                <w:sz w:val="24"/>
                <w:szCs w:val="24"/>
              </w:rPr>
              <w:t>Lacks educational quality</w:t>
            </w:r>
          </w:p>
        </w:tc>
      </w:tr>
      <w:tr w:rsidR="007C77F0" w:rsidTr="007C77F0">
        <w:tc>
          <w:tcPr>
            <w:tcW w:w="4788" w:type="dxa"/>
          </w:tcPr>
          <w:p w:rsidR="007C77F0" w:rsidRPr="00AA3B44" w:rsidRDefault="00AA3B44" w:rsidP="00AA3B44">
            <w:pPr>
              <w:pStyle w:val="ListParagraph"/>
              <w:numPr>
                <w:ilvl w:val="0"/>
                <w:numId w:val="17"/>
              </w:numPr>
              <w:autoSpaceDE w:val="0"/>
              <w:autoSpaceDN w:val="0"/>
              <w:adjustRightInd w:val="0"/>
              <w:rPr>
                <w:rFonts w:ascii="Arial" w:hAnsi="Arial" w:cs="Arial"/>
                <w:sz w:val="24"/>
                <w:szCs w:val="24"/>
              </w:rPr>
            </w:pPr>
            <w:r>
              <w:rPr>
                <w:rFonts w:ascii="Arial" w:hAnsi="Arial" w:cs="Arial"/>
                <w:sz w:val="24"/>
                <w:szCs w:val="24"/>
              </w:rPr>
              <w:t>Provides assistance to established and developing institutions</w:t>
            </w:r>
          </w:p>
        </w:tc>
        <w:tc>
          <w:tcPr>
            <w:tcW w:w="4788" w:type="dxa"/>
          </w:tcPr>
          <w:p w:rsidR="007C77F0" w:rsidRPr="007C77F0" w:rsidRDefault="007C77F0" w:rsidP="007C77F0">
            <w:pPr>
              <w:pStyle w:val="ListParagraph"/>
              <w:numPr>
                <w:ilvl w:val="0"/>
                <w:numId w:val="18"/>
              </w:numPr>
              <w:autoSpaceDE w:val="0"/>
              <w:autoSpaceDN w:val="0"/>
              <w:adjustRightInd w:val="0"/>
              <w:rPr>
                <w:rFonts w:ascii="Arial" w:hAnsi="Arial" w:cs="Arial"/>
                <w:sz w:val="24"/>
                <w:szCs w:val="24"/>
              </w:rPr>
            </w:pPr>
            <w:r>
              <w:rPr>
                <w:rFonts w:ascii="Arial" w:hAnsi="Arial" w:cs="Arial"/>
                <w:sz w:val="24"/>
                <w:szCs w:val="24"/>
              </w:rPr>
              <w:t>No suggested weighting of standards from trivial to important</w:t>
            </w:r>
          </w:p>
        </w:tc>
      </w:tr>
      <w:tr w:rsidR="007C77F0" w:rsidTr="007C77F0">
        <w:tc>
          <w:tcPr>
            <w:tcW w:w="4788" w:type="dxa"/>
          </w:tcPr>
          <w:p w:rsidR="007C77F0" w:rsidRPr="00AA3B44" w:rsidRDefault="00AA3B44" w:rsidP="00AA3B44">
            <w:pPr>
              <w:pStyle w:val="ListParagraph"/>
              <w:numPr>
                <w:ilvl w:val="0"/>
                <w:numId w:val="18"/>
              </w:numPr>
              <w:autoSpaceDE w:val="0"/>
              <w:autoSpaceDN w:val="0"/>
              <w:adjustRightInd w:val="0"/>
              <w:rPr>
                <w:rFonts w:ascii="Arial" w:hAnsi="Arial" w:cs="Arial"/>
                <w:sz w:val="24"/>
                <w:szCs w:val="24"/>
              </w:rPr>
            </w:pPr>
            <w:r>
              <w:rPr>
                <w:rFonts w:ascii="Arial" w:hAnsi="Arial" w:cs="Arial"/>
                <w:sz w:val="24"/>
                <w:szCs w:val="24"/>
              </w:rPr>
              <w:t>Protects institutions from encroachments</w:t>
            </w:r>
          </w:p>
        </w:tc>
        <w:tc>
          <w:tcPr>
            <w:tcW w:w="4788" w:type="dxa"/>
          </w:tcPr>
          <w:p w:rsidR="007C77F0" w:rsidRPr="007C77F0" w:rsidRDefault="007C77F0" w:rsidP="007C77F0">
            <w:pPr>
              <w:pStyle w:val="ListParagraph"/>
              <w:numPr>
                <w:ilvl w:val="0"/>
                <w:numId w:val="18"/>
              </w:numPr>
              <w:autoSpaceDE w:val="0"/>
              <w:autoSpaceDN w:val="0"/>
              <w:adjustRightInd w:val="0"/>
              <w:rPr>
                <w:rFonts w:ascii="Arial" w:hAnsi="Arial" w:cs="Arial"/>
                <w:sz w:val="24"/>
                <w:szCs w:val="24"/>
              </w:rPr>
            </w:pPr>
            <w:r>
              <w:rPr>
                <w:rFonts w:ascii="Arial" w:hAnsi="Arial" w:cs="Arial"/>
                <w:sz w:val="24"/>
                <w:szCs w:val="24"/>
              </w:rPr>
              <w:t>Fixation on goals that may exclude searching for effects</w:t>
            </w:r>
          </w:p>
        </w:tc>
      </w:tr>
      <w:tr w:rsidR="007C77F0" w:rsidTr="007C77F0">
        <w:tc>
          <w:tcPr>
            <w:tcW w:w="4788" w:type="dxa"/>
          </w:tcPr>
          <w:p w:rsidR="007C77F0" w:rsidRDefault="007C77F0" w:rsidP="00E95AB6">
            <w:pPr>
              <w:autoSpaceDE w:val="0"/>
              <w:autoSpaceDN w:val="0"/>
              <w:adjustRightInd w:val="0"/>
              <w:rPr>
                <w:rFonts w:ascii="Arial" w:hAnsi="Arial" w:cs="Arial"/>
                <w:sz w:val="24"/>
                <w:szCs w:val="24"/>
              </w:rPr>
            </w:pPr>
          </w:p>
        </w:tc>
        <w:tc>
          <w:tcPr>
            <w:tcW w:w="4788" w:type="dxa"/>
          </w:tcPr>
          <w:p w:rsidR="007C77F0" w:rsidRPr="007C77F0" w:rsidRDefault="007C77F0" w:rsidP="007C77F0">
            <w:pPr>
              <w:pStyle w:val="ListParagraph"/>
              <w:numPr>
                <w:ilvl w:val="0"/>
                <w:numId w:val="18"/>
              </w:numPr>
              <w:autoSpaceDE w:val="0"/>
              <w:autoSpaceDN w:val="0"/>
              <w:adjustRightInd w:val="0"/>
              <w:rPr>
                <w:rFonts w:ascii="Arial" w:hAnsi="Arial" w:cs="Arial"/>
                <w:sz w:val="24"/>
                <w:szCs w:val="24"/>
              </w:rPr>
            </w:pPr>
            <w:r>
              <w:rPr>
                <w:rFonts w:ascii="Arial" w:hAnsi="Arial" w:cs="Arial"/>
                <w:sz w:val="24"/>
                <w:szCs w:val="24"/>
              </w:rPr>
              <w:t>Managerial bias</w:t>
            </w:r>
            <w:r w:rsidR="00AA3B44">
              <w:rPr>
                <w:rFonts w:ascii="Arial" w:hAnsi="Arial" w:cs="Arial"/>
                <w:sz w:val="24"/>
                <w:szCs w:val="24"/>
              </w:rPr>
              <w:t>es</w:t>
            </w:r>
            <w:r>
              <w:rPr>
                <w:rFonts w:ascii="Arial" w:hAnsi="Arial" w:cs="Arial"/>
                <w:sz w:val="24"/>
                <w:szCs w:val="24"/>
              </w:rPr>
              <w:t xml:space="preserve"> that influenc</w:t>
            </w:r>
            <w:r w:rsidR="00AA3B44">
              <w:rPr>
                <w:rFonts w:ascii="Arial" w:hAnsi="Arial" w:cs="Arial"/>
                <w:sz w:val="24"/>
                <w:szCs w:val="24"/>
              </w:rPr>
              <w:t>e</w:t>
            </w:r>
            <w:r>
              <w:rPr>
                <w:rFonts w:ascii="Arial" w:hAnsi="Arial" w:cs="Arial"/>
                <w:sz w:val="24"/>
                <w:szCs w:val="24"/>
              </w:rPr>
              <w:t xml:space="preserve"> the composition of review teams</w:t>
            </w:r>
          </w:p>
        </w:tc>
      </w:tr>
      <w:tr w:rsidR="007C77F0" w:rsidTr="007C77F0">
        <w:tc>
          <w:tcPr>
            <w:tcW w:w="4788" w:type="dxa"/>
          </w:tcPr>
          <w:p w:rsidR="007C77F0" w:rsidRDefault="007C77F0" w:rsidP="00E95AB6">
            <w:pPr>
              <w:autoSpaceDE w:val="0"/>
              <w:autoSpaceDN w:val="0"/>
              <w:adjustRightInd w:val="0"/>
              <w:rPr>
                <w:rFonts w:ascii="Arial" w:hAnsi="Arial" w:cs="Arial"/>
                <w:sz w:val="24"/>
                <w:szCs w:val="24"/>
              </w:rPr>
            </w:pPr>
          </w:p>
        </w:tc>
        <w:tc>
          <w:tcPr>
            <w:tcW w:w="4788" w:type="dxa"/>
          </w:tcPr>
          <w:p w:rsidR="007C77F0" w:rsidRDefault="007C77F0" w:rsidP="007C77F0">
            <w:pPr>
              <w:pStyle w:val="ListParagraph"/>
              <w:numPr>
                <w:ilvl w:val="0"/>
                <w:numId w:val="18"/>
              </w:numPr>
              <w:autoSpaceDE w:val="0"/>
              <w:autoSpaceDN w:val="0"/>
              <w:adjustRightInd w:val="0"/>
              <w:rPr>
                <w:rFonts w:ascii="Arial" w:hAnsi="Arial" w:cs="Arial"/>
                <w:sz w:val="24"/>
                <w:szCs w:val="24"/>
              </w:rPr>
            </w:pPr>
            <w:r>
              <w:rPr>
                <w:rFonts w:ascii="Arial" w:hAnsi="Arial" w:cs="Arial"/>
                <w:sz w:val="24"/>
                <w:szCs w:val="24"/>
              </w:rPr>
              <w:t>Processes preclude input from the most severe critics</w:t>
            </w:r>
          </w:p>
        </w:tc>
      </w:tr>
      <w:tr w:rsidR="00AA3B44" w:rsidRPr="00C928A6" w:rsidTr="007C77F0">
        <w:tc>
          <w:tcPr>
            <w:tcW w:w="4788" w:type="dxa"/>
          </w:tcPr>
          <w:p w:rsidR="00AA3B44" w:rsidRPr="00C928A6" w:rsidRDefault="00AA3B44" w:rsidP="00E95AB6">
            <w:pPr>
              <w:autoSpaceDE w:val="0"/>
              <w:autoSpaceDN w:val="0"/>
              <w:adjustRightInd w:val="0"/>
              <w:rPr>
                <w:rFonts w:ascii="Arial" w:hAnsi="Arial" w:cs="Arial"/>
                <w:b/>
                <w:sz w:val="24"/>
                <w:szCs w:val="24"/>
              </w:rPr>
            </w:pPr>
            <w:r w:rsidRPr="00C928A6">
              <w:rPr>
                <w:rFonts w:ascii="Arial" w:hAnsi="Arial" w:cs="Arial"/>
                <w:b/>
                <w:sz w:val="24"/>
                <w:szCs w:val="24"/>
              </w:rPr>
              <w:t>Informal Professional Review Systems</w:t>
            </w:r>
          </w:p>
        </w:tc>
        <w:tc>
          <w:tcPr>
            <w:tcW w:w="4788" w:type="dxa"/>
          </w:tcPr>
          <w:p w:rsidR="00AA3B44" w:rsidRPr="00C928A6" w:rsidRDefault="00AA3B44" w:rsidP="00AA3B44">
            <w:pPr>
              <w:autoSpaceDE w:val="0"/>
              <w:autoSpaceDN w:val="0"/>
              <w:adjustRightInd w:val="0"/>
              <w:rPr>
                <w:rFonts w:ascii="Arial" w:hAnsi="Arial" w:cs="Arial"/>
                <w:b/>
                <w:sz w:val="24"/>
                <w:szCs w:val="24"/>
              </w:rPr>
            </w:pPr>
            <w:r w:rsidRPr="00C928A6">
              <w:rPr>
                <w:rFonts w:ascii="Arial" w:hAnsi="Arial" w:cs="Arial"/>
                <w:b/>
                <w:sz w:val="24"/>
                <w:szCs w:val="24"/>
              </w:rPr>
              <w:t>Informal Professional Review Systems</w:t>
            </w:r>
          </w:p>
        </w:tc>
      </w:tr>
      <w:tr w:rsidR="00AA3B44" w:rsidTr="007C77F0">
        <w:tc>
          <w:tcPr>
            <w:tcW w:w="4788" w:type="dxa"/>
          </w:tcPr>
          <w:p w:rsidR="00AA3B44" w:rsidRPr="00FC255A" w:rsidRDefault="00FC255A" w:rsidP="00FC255A">
            <w:pPr>
              <w:pStyle w:val="ListParagraph"/>
              <w:numPr>
                <w:ilvl w:val="0"/>
                <w:numId w:val="19"/>
              </w:numPr>
              <w:autoSpaceDE w:val="0"/>
              <w:autoSpaceDN w:val="0"/>
              <w:adjustRightInd w:val="0"/>
              <w:rPr>
                <w:rFonts w:ascii="Arial" w:hAnsi="Arial" w:cs="Arial"/>
                <w:sz w:val="24"/>
                <w:szCs w:val="24"/>
              </w:rPr>
            </w:pPr>
            <w:r>
              <w:rPr>
                <w:rFonts w:ascii="Arial" w:hAnsi="Arial" w:cs="Arial"/>
                <w:sz w:val="24"/>
                <w:szCs w:val="24"/>
              </w:rPr>
              <w:t>Cross-validation by multiple observers</w:t>
            </w:r>
          </w:p>
        </w:tc>
        <w:tc>
          <w:tcPr>
            <w:tcW w:w="4788" w:type="dxa"/>
          </w:tcPr>
          <w:p w:rsidR="00AA3B44" w:rsidRPr="00FC255A" w:rsidRDefault="00FC255A" w:rsidP="00FC255A">
            <w:pPr>
              <w:pStyle w:val="ListParagraph"/>
              <w:numPr>
                <w:ilvl w:val="0"/>
                <w:numId w:val="19"/>
              </w:numPr>
              <w:autoSpaceDE w:val="0"/>
              <w:autoSpaceDN w:val="0"/>
              <w:adjustRightInd w:val="0"/>
              <w:rPr>
                <w:rFonts w:ascii="Arial" w:hAnsi="Arial" w:cs="Arial"/>
                <w:sz w:val="24"/>
                <w:szCs w:val="24"/>
              </w:rPr>
            </w:pPr>
            <w:r>
              <w:rPr>
                <w:rFonts w:ascii="Arial" w:hAnsi="Arial" w:cs="Arial"/>
                <w:sz w:val="24"/>
                <w:szCs w:val="24"/>
              </w:rPr>
              <w:t>Public suspicion that reviews may be inherently conservative</w:t>
            </w:r>
          </w:p>
        </w:tc>
      </w:tr>
      <w:tr w:rsidR="00FC255A" w:rsidTr="007C77F0">
        <w:tc>
          <w:tcPr>
            <w:tcW w:w="4788" w:type="dxa"/>
          </w:tcPr>
          <w:p w:rsidR="00FC255A" w:rsidRDefault="00FC255A" w:rsidP="00FC255A">
            <w:pPr>
              <w:pStyle w:val="ListParagraph"/>
              <w:numPr>
                <w:ilvl w:val="0"/>
                <w:numId w:val="19"/>
              </w:numPr>
              <w:autoSpaceDE w:val="0"/>
              <w:autoSpaceDN w:val="0"/>
              <w:adjustRightInd w:val="0"/>
              <w:rPr>
                <w:rFonts w:ascii="Arial" w:hAnsi="Arial" w:cs="Arial"/>
                <w:sz w:val="24"/>
                <w:szCs w:val="24"/>
              </w:rPr>
            </w:pPr>
            <w:r>
              <w:rPr>
                <w:rFonts w:ascii="Arial" w:hAnsi="Arial" w:cs="Arial"/>
                <w:sz w:val="24"/>
                <w:szCs w:val="24"/>
              </w:rPr>
              <w:t>Maximizes the collection of information in a short time span</w:t>
            </w:r>
          </w:p>
        </w:tc>
        <w:tc>
          <w:tcPr>
            <w:tcW w:w="4788" w:type="dxa"/>
          </w:tcPr>
          <w:p w:rsidR="00FC255A" w:rsidRPr="00FC255A" w:rsidRDefault="00FC255A" w:rsidP="00FC255A">
            <w:pPr>
              <w:pStyle w:val="ListParagraph"/>
              <w:numPr>
                <w:ilvl w:val="0"/>
                <w:numId w:val="19"/>
              </w:numPr>
              <w:autoSpaceDE w:val="0"/>
              <w:autoSpaceDN w:val="0"/>
              <w:adjustRightInd w:val="0"/>
              <w:rPr>
                <w:rFonts w:ascii="Arial" w:hAnsi="Arial" w:cs="Arial"/>
                <w:sz w:val="24"/>
                <w:szCs w:val="24"/>
              </w:rPr>
            </w:pPr>
            <w:r>
              <w:rPr>
                <w:rFonts w:ascii="Arial" w:hAnsi="Arial" w:cs="Arial"/>
                <w:sz w:val="24"/>
                <w:szCs w:val="24"/>
              </w:rPr>
              <w:t>Potentially incestuous</w:t>
            </w:r>
          </w:p>
        </w:tc>
      </w:tr>
      <w:tr w:rsidR="00FC255A" w:rsidTr="007C77F0">
        <w:tc>
          <w:tcPr>
            <w:tcW w:w="4788" w:type="dxa"/>
          </w:tcPr>
          <w:p w:rsidR="00FC255A" w:rsidRDefault="00FC255A" w:rsidP="00FC255A">
            <w:pPr>
              <w:pStyle w:val="ListParagraph"/>
              <w:numPr>
                <w:ilvl w:val="0"/>
                <w:numId w:val="19"/>
              </w:numPr>
              <w:autoSpaceDE w:val="0"/>
              <w:autoSpaceDN w:val="0"/>
              <w:adjustRightInd w:val="0"/>
              <w:rPr>
                <w:rFonts w:ascii="Arial" w:hAnsi="Arial" w:cs="Arial"/>
                <w:sz w:val="24"/>
                <w:szCs w:val="24"/>
              </w:rPr>
            </w:pPr>
            <w:r>
              <w:rPr>
                <w:rFonts w:ascii="Arial" w:hAnsi="Arial" w:cs="Arial"/>
                <w:sz w:val="24"/>
                <w:szCs w:val="24"/>
              </w:rPr>
              <w:t>Blends the expertise in evaluation techniques</w:t>
            </w:r>
          </w:p>
        </w:tc>
        <w:tc>
          <w:tcPr>
            <w:tcW w:w="4788" w:type="dxa"/>
          </w:tcPr>
          <w:p w:rsidR="00FC255A" w:rsidRPr="00FC255A" w:rsidRDefault="00FC255A" w:rsidP="00FC255A">
            <w:pPr>
              <w:pStyle w:val="ListParagraph"/>
              <w:numPr>
                <w:ilvl w:val="0"/>
                <w:numId w:val="19"/>
              </w:numPr>
              <w:autoSpaceDE w:val="0"/>
              <w:autoSpaceDN w:val="0"/>
              <w:adjustRightInd w:val="0"/>
              <w:rPr>
                <w:rFonts w:ascii="Arial" w:hAnsi="Arial" w:cs="Arial"/>
                <w:sz w:val="24"/>
                <w:szCs w:val="24"/>
              </w:rPr>
            </w:pPr>
            <w:r>
              <w:rPr>
                <w:rFonts w:ascii="Arial" w:hAnsi="Arial" w:cs="Arial"/>
                <w:sz w:val="24"/>
                <w:szCs w:val="24"/>
              </w:rPr>
              <w:t>Subject to possible conflict of interest</w:t>
            </w:r>
          </w:p>
        </w:tc>
      </w:tr>
      <w:tr w:rsidR="00FC255A" w:rsidTr="007C77F0">
        <w:tc>
          <w:tcPr>
            <w:tcW w:w="4788" w:type="dxa"/>
          </w:tcPr>
          <w:p w:rsidR="00FC255A" w:rsidRDefault="00FC255A" w:rsidP="00FC255A">
            <w:pPr>
              <w:pStyle w:val="ListParagraph"/>
              <w:numPr>
                <w:ilvl w:val="0"/>
                <w:numId w:val="19"/>
              </w:numPr>
              <w:autoSpaceDE w:val="0"/>
              <w:autoSpaceDN w:val="0"/>
              <w:adjustRightInd w:val="0"/>
              <w:rPr>
                <w:rFonts w:ascii="Arial" w:hAnsi="Arial" w:cs="Arial"/>
                <w:sz w:val="24"/>
                <w:szCs w:val="24"/>
              </w:rPr>
            </w:pPr>
          </w:p>
        </w:tc>
        <w:tc>
          <w:tcPr>
            <w:tcW w:w="4788" w:type="dxa"/>
          </w:tcPr>
          <w:p w:rsidR="00FC255A" w:rsidRDefault="00FC255A" w:rsidP="00FC255A">
            <w:pPr>
              <w:pStyle w:val="ListParagraph"/>
              <w:numPr>
                <w:ilvl w:val="0"/>
                <w:numId w:val="19"/>
              </w:numPr>
              <w:autoSpaceDE w:val="0"/>
              <w:autoSpaceDN w:val="0"/>
              <w:adjustRightInd w:val="0"/>
              <w:rPr>
                <w:rFonts w:ascii="Arial" w:hAnsi="Arial" w:cs="Arial"/>
                <w:sz w:val="24"/>
                <w:szCs w:val="24"/>
              </w:rPr>
            </w:pPr>
            <w:r>
              <w:rPr>
                <w:rFonts w:ascii="Arial" w:hAnsi="Arial" w:cs="Arial"/>
                <w:sz w:val="24"/>
                <w:szCs w:val="24"/>
              </w:rPr>
              <w:t>Socialization may blunt the important characteristic of detachment.</w:t>
            </w:r>
          </w:p>
        </w:tc>
      </w:tr>
      <w:tr w:rsidR="00FC255A" w:rsidTr="007C77F0">
        <w:tc>
          <w:tcPr>
            <w:tcW w:w="4788" w:type="dxa"/>
          </w:tcPr>
          <w:p w:rsidR="00FC255A" w:rsidRDefault="00FC255A" w:rsidP="00FC255A">
            <w:pPr>
              <w:pStyle w:val="ListParagraph"/>
              <w:numPr>
                <w:ilvl w:val="0"/>
                <w:numId w:val="19"/>
              </w:numPr>
              <w:autoSpaceDE w:val="0"/>
              <w:autoSpaceDN w:val="0"/>
              <w:adjustRightInd w:val="0"/>
              <w:rPr>
                <w:rFonts w:ascii="Arial" w:hAnsi="Arial" w:cs="Arial"/>
                <w:sz w:val="24"/>
                <w:szCs w:val="24"/>
              </w:rPr>
            </w:pPr>
          </w:p>
        </w:tc>
        <w:tc>
          <w:tcPr>
            <w:tcW w:w="4788" w:type="dxa"/>
          </w:tcPr>
          <w:p w:rsidR="00FC255A" w:rsidRDefault="00FC255A" w:rsidP="00FC255A">
            <w:pPr>
              <w:pStyle w:val="ListParagraph"/>
              <w:numPr>
                <w:ilvl w:val="0"/>
                <w:numId w:val="19"/>
              </w:numPr>
              <w:autoSpaceDE w:val="0"/>
              <w:autoSpaceDN w:val="0"/>
              <w:adjustRightInd w:val="0"/>
              <w:rPr>
                <w:rFonts w:ascii="Arial" w:hAnsi="Arial" w:cs="Arial"/>
                <w:sz w:val="24"/>
                <w:szCs w:val="24"/>
              </w:rPr>
            </w:pPr>
            <w:r>
              <w:rPr>
                <w:rFonts w:ascii="Arial" w:hAnsi="Arial" w:cs="Arial"/>
                <w:sz w:val="24"/>
                <w:szCs w:val="24"/>
              </w:rPr>
              <w:t>Assumptions and practices may be questioned by outsiders</w:t>
            </w:r>
          </w:p>
        </w:tc>
      </w:tr>
      <w:tr w:rsidR="007A3998" w:rsidTr="007C77F0">
        <w:tc>
          <w:tcPr>
            <w:tcW w:w="4788" w:type="dxa"/>
          </w:tcPr>
          <w:p w:rsidR="007A3998" w:rsidRDefault="007A3998" w:rsidP="00FC255A">
            <w:pPr>
              <w:pStyle w:val="ListParagraph"/>
              <w:numPr>
                <w:ilvl w:val="0"/>
                <w:numId w:val="19"/>
              </w:numPr>
              <w:autoSpaceDE w:val="0"/>
              <w:autoSpaceDN w:val="0"/>
              <w:adjustRightInd w:val="0"/>
              <w:rPr>
                <w:rFonts w:ascii="Arial" w:hAnsi="Arial" w:cs="Arial"/>
                <w:sz w:val="24"/>
                <w:szCs w:val="24"/>
              </w:rPr>
            </w:pPr>
          </w:p>
        </w:tc>
        <w:tc>
          <w:tcPr>
            <w:tcW w:w="4788" w:type="dxa"/>
          </w:tcPr>
          <w:p w:rsidR="007A3998" w:rsidRDefault="007A3998" w:rsidP="00FC255A">
            <w:pPr>
              <w:pStyle w:val="ListParagraph"/>
              <w:numPr>
                <w:ilvl w:val="0"/>
                <w:numId w:val="19"/>
              </w:numPr>
              <w:autoSpaceDE w:val="0"/>
              <w:autoSpaceDN w:val="0"/>
              <w:adjustRightInd w:val="0"/>
              <w:rPr>
                <w:rFonts w:ascii="Arial" w:hAnsi="Arial" w:cs="Arial"/>
                <w:sz w:val="24"/>
                <w:szCs w:val="24"/>
              </w:rPr>
            </w:pPr>
            <w:r>
              <w:rPr>
                <w:rFonts w:ascii="Arial" w:hAnsi="Arial" w:cs="Arial"/>
                <w:sz w:val="24"/>
                <w:szCs w:val="24"/>
              </w:rPr>
              <w:t>Confidentiality can be another problem</w:t>
            </w:r>
          </w:p>
        </w:tc>
      </w:tr>
    </w:tbl>
    <w:p w:rsidR="00E95AB6" w:rsidRPr="00E95AB6" w:rsidRDefault="00E95AB6" w:rsidP="00E95AB6">
      <w:pPr>
        <w:autoSpaceDE w:val="0"/>
        <w:autoSpaceDN w:val="0"/>
        <w:adjustRightInd w:val="0"/>
        <w:spacing w:after="0" w:line="240" w:lineRule="auto"/>
        <w:rPr>
          <w:rFonts w:ascii="Arial" w:hAnsi="Arial" w:cs="Arial"/>
          <w:sz w:val="24"/>
          <w:szCs w:val="24"/>
        </w:rPr>
      </w:pPr>
    </w:p>
    <w:p w:rsidR="00F11CCB" w:rsidRPr="00F11CCB" w:rsidRDefault="00F11CCB" w:rsidP="00D1239F">
      <w:pPr>
        <w:autoSpaceDE w:val="0"/>
        <w:autoSpaceDN w:val="0"/>
        <w:adjustRightInd w:val="0"/>
        <w:spacing w:after="0" w:line="240" w:lineRule="auto"/>
        <w:rPr>
          <w:rFonts w:ascii="Arial" w:hAnsi="Arial" w:cs="Arial"/>
          <w:b/>
          <w:sz w:val="24"/>
          <w:szCs w:val="24"/>
        </w:rPr>
      </w:pPr>
      <w:r w:rsidRPr="00F11CCB">
        <w:rPr>
          <w:rFonts w:ascii="Arial" w:hAnsi="Arial" w:cs="Arial"/>
          <w:b/>
          <w:sz w:val="24"/>
          <w:szCs w:val="24"/>
        </w:rPr>
        <w:t>What is the Stake’s Countenance Framework?</w:t>
      </w:r>
    </w:p>
    <w:p w:rsidR="008A052D" w:rsidRDefault="00F11CCB" w:rsidP="00D1239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Stake’s Countenance Framework attempts to describe the thing being evaluated and render judgment about the thing’s value or worth.  This framework assists the evaluator in making data collection and interpretation decisions, and it affords the evaluator the information needed to analyze the level of congruency between intended and actual outcomes, the dependency of outcomes on transactions and antecedents, and the dependency of transactions on antecedents (p. 149).  </w:t>
      </w:r>
      <w:r w:rsidR="00C867E0">
        <w:rPr>
          <w:rFonts w:ascii="Arial" w:hAnsi="Arial" w:cs="Arial"/>
          <w:sz w:val="24"/>
          <w:szCs w:val="24"/>
        </w:rPr>
        <w:t>Stake’s input and analysis on evaluation had a major impact on evaluation thinking and laid a powerful conceptual foundation for later developments in the evaluation theory.</w:t>
      </w:r>
    </w:p>
    <w:p w:rsidR="00304802" w:rsidRDefault="00304802" w:rsidP="00D1239F">
      <w:pPr>
        <w:autoSpaceDE w:val="0"/>
        <w:autoSpaceDN w:val="0"/>
        <w:adjustRightInd w:val="0"/>
        <w:spacing w:after="0" w:line="240" w:lineRule="auto"/>
        <w:rPr>
          <w:rFonts w:ascii="Arial" w:hAnsi="Arial" w:cs="Arial"/>
          <w:sz w:val="24"/>
          <w:szCs w:val="24"/>
        </w:rPr>
      </w:pPr>
    </w:p>
    <w:p w:rsidR="00CB3D01" w:rsidRPr="00CB3D01" w:rsidRDefault="00CB3D01" w:rsidP="00D1239F">
      <w:pPr>
        <w:autoSpaceDE w:val="0"/>
        <w:autoSpaceDN w:val="0"/>
        <w:adjustRightInd w:val="0"/>
        <w:spacing w:after="0" w:line="240" w:lineRule="auto"/>
        <w:rPr>
          <w:rFonts w:ascii="Arial" w:hAnsi="Arial" w:cs="Arial"/>
          <w:b/>
          <w:sz w:val="24"/>
          <w:szCs w:val="24"/>
        </w:rPr>
      </w:pPr>
      <w:r w:rsidRPr="00CB3D01">
        <w:rPr>
          <w:rFonts w:ascii="Arial" w:hAnsi="Arial" w:cs="Arial"/>
          <w:b/>
          <w:sz w:val="24"/>
          <w:szCs w:val="24"/>
        </w:rPr>
        <w:t>What is the Purpose of each Evaluation Approach and What are the Distinguishing Characteristics?</w:t>
      </w:r>
    </w:p>
    <w:tbl>
      <w:tblPr>
        <w:tblStyle w:val="TableGrid"/>
        <w:tblW w:w="0" w:type="auto"/>
        <w:tblLook w:val="04A0"/>
      </w:tblPr>
      <w:tblGrid>
        <w:gridCol w:w="2660"/>
        <w:gridCol w:w="3544"/>
        <w:gridCol w:w="3372"/>
      </w:tblGrid>
      <w:tr w:rsidR="00CB3D01" w:rsidTr="00565155">
        <w:tc>
          <w:tcPr>
            <w:tcW w:w="2660" w:type="dxa"/>
          </w:tcPr>
          <w:p w:rsidR="00CB3D01" w:rsidRDefault="00CB3D01" w:rsidP="00D1239F">
            <w:pPr>
              <w:autoSpaceDE w:val="0"/>
              <w:autoSpaceDN w:val="0"/>
              <w:adjustRightInd w:val="0"/>
              <w:rPr>
                <w:rFonts w:ascii="Arial" w:hAnsi="Arial" w:cs="Arial"/>
                <w:sz w:val="24"/>
                <w:szCs w:val="24"/>
              </w:rPr>
            </w:pPr>
            <w:r>
              <w:rPr>
                <w:rFonts w:ascii="Arial" w:hAnsi="Arial" w:cs="Arial"/>
                <w:sz w:val="24"/>
                <w:szCs w:val="24"/>
              </w:rPr>
              <w:t>Approach</w:t>
            </w:r>
          </w:p>
        </w:tc>
        <w:tc>
          <w:tcPr>
            <w:tcW w:w="3544" w:type="dxa"/>
          </w:tcPr>
          <w:p w:rsidR="00CB3D01" w:rsidRDefault="00CB3D01" w:rsidP="00D1239F">
            <w:pPr>
              <w:autoSpaceDE w:val="0"/>
              <w:autoSpaceDN w:val="0"/>
              <w:adjustRightInd w:val="0"/>
              <w:rPr>
                <w:rFonts w:ascii="Arial" w:hAnsi="Arial" w:cs="Arial"/>
                <w:sz w:val="24"/>
                <w:szCs w:val="24"/>
              </w:rPr>
            </w:pPr>
            <w:r>
              <w:rPr>
                <w:rFonts w:ascii="Arial" w:hAnsi="Arial" w:cs="Arial"/>
                <w:sz w:val="24"/>
                <w:szCs w:val="24"/>
              </w:rPr>
              <w:t>Purpose</w:t>
            </w:r>
          </w:p>
        </w:tc>
        <w:tc>
          <w:tcPr>
            <w:tcW w:w="3372" w:type="dxa"/>
          </w:tcPr>
          <w:p w:rsidR="00CB3D01" w:rsidRDefault="00CB3D01" w:rsidP="00D1239F">
            <w:pPr>
              <w:autoSpaceDE w:val="0"/>
              <w:autoSpaceDN w:val="0"/>
              <w:adjustRightInd w:val="0"/>
              <w:rPr>
                <w:rFonts w:ascii="Arial" w:hAnsi="Arial" w:cs="Arial"/>
                <w:sz w:val="24"/>
                <w:szCs w:val="24"/>
              </w:rPr>
            </w:pPr>
            <w:r>
              <w:rPr>
                <w:rFonts w:ascii="Arial" w:hAnsi="Arial" w:cs="Arial"/>
                <w:sz w:val="24"/>
                <w:szCs w:val="24"/>
              </w:rPr>
              <w:t>Distinguishing Characteristic</w:t>
            </w:r>
          </w:p>
        </w:tc>
      </w:tr>
      <w:tr w:rsidR="00CB3D01" w:rsidTr="00565155">
        <w:tc>
          <w:tcPr>
            <w:tcW w:w="2660" w:type="dxa"/>
          </w:tcPr>
          <w:p w:rsidR="00CB3D01" w:rsidRPr="00CB3D01" w:rsidRDefault="00CB3D01" w:rsidP="00CB3D01">
            <w:pPr>
              <w:autoSpaceDE w:val="0"/>
              <w:autoSpaceDN w:val="0"/>
              <w:adjustRightInd w:val="0"/>
              <w:rPr>
                <w:rFonts w:ascii="Arial" w:hAnsi="Arial" w:cs="Arial"/>
                <w:sz w:val="24"/>
                <w:szCs w:val="24"/>
              </w:rPr>
            </w:pPr>
            <w:r w:rsidRPr="00CB3D01">
              <w:rPr>
                <w:rFonts w:ascii="Arial" w:hAnsi="Arial" w:cs="Arial"/>
                <w:sz w:val="24"/>
                <w:szCs w:val="24"/>
              </w:rPr>
              <w:t>Objectives - Oriented</w:t>
            </w:r>
          </w:p>
        </w:tc>
        <w:tc>
          <w:tcPr>
            <w:tcW w:w="3544" w:type="dxa"/>
          </w:tcPr>
          <w:p w:rsidR="00CB3D01" w:rsidRPr="00CB3D01" w:rsidRDefault="00CB3D01" w:rsidP="00CB3D01">
            <w:pPr>
              <w:pStyle w:val="ListParagraph"/>
              <w:numPr>
                <w:ilvl w:val="0"/>
                <w:numId w:val="21"/>
              </w:numPr>
              <w:autoSpaceDE w:val="0"/>
              <w:autoSpaceDN w:val="0"/>
              <w:adjustRightInd w:val="0"/>
              <w:rPr>
                <w:rFonts w:ascii="Arial" w:hAnsi="Arial" w:cs="Arial"/>
                <w:sz w:val="24"/>
                <w:szCs w:val="24"/>
              </w:rPr>
            </w:pPr>
            <w:r>
              <w:rPr>
                <w:rFonts w:ascii="Arial" w:hAnsi="Arial" w:cs="Arial"/>
                <w:sz w:val="24"/>
                <w:szCs w:val="24"/>
              </w:rPr>
              <w:t>Determining the extent to which objectives achieved</w:t>
            </w:r>
          </w:p>
        </w:tc>
        <w:tc>
          <w:tcPr>
            <w:tcW w:w="3372" w:type="dxa"/>
          </w:tcPr>
          <w:p w:rsidR="00CB3D01" w:rsidRPr="00CB3D01" w:rsidRDefault="00CB3D01" w:rsidP="00CB3D01">
            <w:pPr>
              <w:pStyle w:val="ListParagraph"/>
              <w:numPr>
                <w:ilvl w:val="0"/>
                <w:numId w:val="20"/>
              </w:numPr>
              <w:autoSpaceDE w:val="0"/>
              <w:autoSpaceDN w:val="0"/>
              <w:adjustRightInd w:val="0"/>
              <w:rPr>
                <w:rFonts w:ascii="Arial" w:hAnsi="Arial" w:cs="Arial"/>
                <w:sz w:val="24"/>
                <w:szCs w:val="24"/>
              </w:rPr>
            </w:pPr>
            <w:r>
              <w:rPr>
                <w:rFonts w:ascii="Arial" w:hAnsi="Arial" w:cs="Arial"/>
                <w:sz w:val="24"/>
                <w:szCs w:val="24"/>
              </w:rPr>
              <w:t>Specifying measurable objectives; using objectives; looking for discrepancies</w:t>
            </w:r>
          </w:p>
        </w:tc>
      </w:tr>
      <w:tr w:rsidR="00CB3D01" w:rsidTr="00565155">
        <w:tc>
          <w:tcPr>
            <w:tcW w:w="2660" w:type="dxa"/>
          </w:tcPr>
          <w:p w:rsidR="00CB3D01" w:rsidRPr="00CB3D01" w:rsidRDefault="00CB3D01" w:rsidP="00CB3D01">
            <w:pPr>
              <w:autoSpaceDE w:val="0"/>
              <w:autoSpaceDN w:val="0"/>
              <w:adjustRightInd w:val="0"/>
              <w:rPr>
                <w:rFonts w:ascii="Arial" w:hAnsi="Arial" w:cs="Arial"/>
                <w:sz w:val="24"/>
                <w:szCs w:val="24"/>
              </w:rPr>
            </w:pPr>
            <w:r>
              <w:rPr>
                <w:rFonts w:ascii="Arial" w:hAnsi="Arial" w:cs="Arial"/>
                <w:sz w:val="24"/>
                <w:szCs w:val="24"/>
              </w:rPr>
              <w:t>Management-Oriented</w:t>
            </w:r>
          </w:p>
        </w:tc>
        <w:tc>
          <w:tcPr>
            <w:tcW w:w="3544" w:type="dxa"/>
          </w:tcPr>
          <w:p w:rsidR="00CB3D01" w:rsidRPr="00CB3D01" w:rsidRDefault="00CB3D01" w:rsidP="00CB3D01">
            <w:pPr>
              <w:pStyle w:val="ListParagraph"/>
              <w:numPr>
                <w:ilvl w:val="0"/>
                <w:numId w:val="20"/>
              </w:numPr>
              <w:autoSpaceDE w:val="0"/>
              <w:autoSpaceDN w:val="0"/>
              <w:adjustRightInd w:val="0"/>
              <w:rPr>
                <w:rFonts w:ascii="Arial" w:hAnsi="Arial" w:cs="Arial"/>
                <w:sz w:val="24"/>
                <w:szCs w:val="24"/>
              </w:rPr>
            </w:pPr>
            <w:r>
              <w:rPr>
                <w:rFonts w:ascii="Arial" w:hAnsi="Arial" w:cs="Arial"/>
                <w:sz w:val="24"/>
                <w:szCs w:val="24"/>
              </w:rPr>
              <w:t>Providing useful information to aid in making decisions</w:t>
            </w:r>
          </w:p>
        </w:tc>
        <w:tc>
          <w:tcPr>
            <w:tcW w:w="3372" w:type="dxa"/>
          </w:tcPr>
          <w:p w:rsidR="00CB3D01" w:rsidRPr="00CB3D01" w:rsidRDefault="00CB3D01" w:rsidP="00CB3D01">
            <w:pPr>
              <w:pStyle w:val="ListParagraph"/>
              <w:numPr>
                <w:ilvl w:val="0"/>
                <w:numId w:val="20"/>
              </w:numPr>
              <w:autoSpaceDE w:val="0"/>
              <w:autoSpaceDN w:val="0"/>
              <w:adjustRightInd w:val="0"/>
              <w:rPr>
                <w:rFonts w:ascii="Arial" w:hAnsi="Arial" w:cs="Arial"/>
                <w:sz w:val="24"/>
                <w:szCs w:val="24"/>
              </w:rPr>
            </w:pPr>
            <w:r>
              <w:rPr>
                <w:rFonts w:ascii="Arial" w:hAnsi="Arial" w:cs="Arial"/>
                <w:sz w:val="24"/>
                <w:szCs w:val="24"/>
              </w:rPr>
              <w:t>Serving rational decision making; evaluating at all stages</w:t>
            </w:r>
          </w:p>
        </w:tc>
      </w:tr>
      <w:tr w:rsidR="00CB3D01" w:rsidTr="00565155">
        <w:tc>
          <w:tcPr>
            <w:tcW w:w="2660" w:type="dxa"/>
          </w:tcPr>
          <w:p w:rsidR="00CB3D01" w:rsidRPr="00CB3D01" w:rsidRDefault="00CB3D01" w:rsidP="00CB3D01">
            <w:pPr>
              <w:autoSpaceDE w:val="0"/>
              <w:autoSpaceDN w:val="0"/>
              <w:adjustRightInd w:val="0"/>
              <w:rPr>
                <w:rFonts w:ascii="Arial" w:hAnsi="Arial" w:cs="Arial"/>
                <w:sz w:val="24"/>
                <w:szCs w:val="24"/>
              </w:rPr>
            </w:pPr>
            <w:r>
              <w:rPr>
                <w:rFonts w:ascii="Arial" w:hAnsi="Arial" w:cs="Arial"/>
                <w:sz w:val="24"/>
                <w:szCs w:val="24"/>
              </w:rPr>
              <w:t>Consumer-Oriented</w:t>
            </w:r>
          </w:p>
        </w:tc>
        <w:tc>
          <w:tcPr>
            <w:tcW w:w="3544" w:type="dxa"/>
          </w:tcPr>
          <w:p w:rsidR="00CB3D01" w:rsidRPr="00CB3D01" w:rsidRDefault="00CB3D01" w:rsidP="00CB3D01">
            <w:pPr>
              <w:pStyle w:val="ListParagraph"/>
              <w:numPr>
                <w:ilvl w:val="0"/>
                <w:numId w:val="20"/>
              </w:numPr>
              <w:autoSpaceDE w:val="0"/>
              <w:autoSpaceDN w:val="0"/>
              <w:adjustRightInd w:val="0"/>
              <w:rPr>
                <w:rFonts w:ascii="Arial" w:hAnsi="Arial" w:cs="Arial"/>
                <w:sz w:val="24"/>
                <w:szCs w:val="24"/>
              </w:rPr>
            </w:pPr>
            <w:r>
              <w:rPr>
                <w:rFonts w:ascii="Arial" w:hAnsi="Arial" w:cs="Arial"/>
                <w:sz w:val="24"/>
                <w:szCs w:val="24"/>
              </w:rPr>
              <w:t>Providing information about products to aid decision making</w:t>
            </w:r>
          </w:p>
        </w:tc>
        <w:tc>
          <w:tcPr>
            <w:tcW w:w="3372" w:type="dxa"/>
          </w:tcPr>
          <w:p w:rsidR="00CB3D01" w:rsidRPr="00CB3D01" w:rsidRDefault="00565155" w:rsidP="00CB3D01">
            <w:pPr>
              <w:pStyle w:val="ListParagraph"/>
              <w:numPr>
                <w:ilvl w:val="0"/>
                <w:numId w:val="20"/>
              </w:numPr>
              <w:autoSpaceDE w:val="0"/>
              <w:autoSpaceDN w:val="0"/>
              <w:adjustRightInd w:val="0"/>
              <w:rPr>
                <w:rFonts w:ascii="Arial" w:hAnsi="Arial" w:cs="Arial"/>
                <w:sz w:val="24"/>
                <w:szCs w:val="24"/>
              </w:rPr>
            </w:pPr>
            <w:r>
              <w:rPr>
                <w:rFonts w:ascii="Arial" w:hAnsi="Arial" w:cs="Arial"/>
                <w:sz w:val="24"/>
                <w:szCs w:val="24"/>
              </w:rPr>
              <w:t>Using criterion checklists to analyze products</w:t>
            </w:r>
          </w:p>
        </w:tc>
      </w:tr>
      <w:tr w:rsidR="00CB3D01" w:rsidTr="00565155">
        <w:tc>
          <w:tcPr>
            <w:tcW w:w="2660" w:type="dxa"/>
          </w:tcPr>
          <w:p w:rsidR="00CB3D01" w:rsidRPr="00CB3D01" w:rsidRDefault="00565155" w:rsidP="00CB3D01">
            <w:pPr>
              <w:autoSpaceDE w:val="0"/>
              <w:autoSpaceDN w:val="0"/>
              <w:adjustRightInd w:val="0"/>
              <w:rPr>
                <w:rFonts w:ascii="Arial" w:hAnsi="Arial" w:cs="Arial"/>
                <w:sz w:val="24"/>
                <w:szCs w:val="24"/>
              </w:rPr>
            </w:pPr>
            <w:r>
              <w:rPr>
                <w:rFonts w:ascii="Arial" w:hAnsi="Arial" w:cs="Arial"/>
                <w:sz w:val="24"/>
                <w:szCs w:val="24"/>
              </w:rPr>
              <w:t>Expertise-Oriented</w:t>
            </w:r>
          </w:p>
        </w:tc>
        <w:tc>
          <w:tcPr>
            <w:tcW w:w="3544" w:type="dxa"/>
          </w:tcPr>
          <w:p w:rsidR="00CB3D01" w:rsidRPr="00CB3D01" w:rsidRDefault="00565155" w:rsidP="00CB3D01">
            <w:pPr>
              <w:pStyle w:val="ListParagraph"/>
              <w:numPr>
                <w:ilvl w:val="0"/>
                <w:numId w:val="20"/>
              </w:numPr>
              <w:autoSpaceDE w:val="0"/>
              <w:autoSpaceDN w:val="0"/>
              <w:adjustRightInd w:val="0"/>
              <w:rPr>
                <w:rFonts w:ascii="Arial" w:hAnsi="Arial" w:cs="Arial"/>
                <w:sz w:val="24"/>
                <w:szCs w:val="24"/>
              </w:rPr>
            </w:pPr>
            <w:r>
              <w:rPr>
                <w:rFonts w:ascii="Arial" w:hAnsi="Arial" w:cs="Arial"/>
                <w:sz w:val="24"/>
                <w:szCs w:val="24"/>
              </w:rPr>
              <w:t>Providing professional judgements of quality</w:t>
            </w:r>
          </w:p>
        </w:tc>
        <w:tc>
          <w:tcPr>
            <w:tcW w:w="3372" w:type="dxa"/>
          </w:tcPr>
          <w:p w:rsidR="00CB3D01" w:rsidRPr="00CB3D01" w:rsidRDefault="00565155" w:rsidP="00CB3D01">
            <w:pPr>
              <w:pStyle w:val="ListParagraph"/>
              <w:numPr>
                <w:ilvl w:val="0"/>
                <w:numId w:val="20"/>
              </w:numPr>
              <w:autoSpaceDE w:val="0"/>
              <w:autoSpaceDN w:val="0"/>
              <w:adjustRightInd w:val="0"/>
              <w:rPr>
                <w:rFonts w:ascii="Arial" w:hAnsi="Arial" w:cs="Arial"/>
                <w:sz w:val="24"/>
                <w:szCs w:val="24"/>
              </w:rPr>
            </w:pPr>
            <w:r>
              <w:rPr>
                <w:rFonts w:ascii="Arial" w:hAnsi="Arial" w:cs="Arial"/>
                <w:sz w:val="24"/>
                <w:szCs w:val="24"/>
              </w:rPr>
              <w:t>Basing judgements on individual knowledge</w:t>
            </w:r>
          </w:p>
        </w:tc>
      </w:tr>
      <w:tr w:rsidR="00CB3D01" w:rsidTr="00565155">
        <w:tc>
          <w:tcPr>
            <w:tcW w:w="2660" w:type="dxa"/>
          </w:tcPr>
          <w:p w:rsidR="00CB3D01" w:rsidRPr="00CB3D01" w:rsidRDefault="00565155" w:rsidP="00CB3D01">
            <w:pPr>
              <w:autoSpaceDE w:val="0"/>
              <w:autoSpaceDN w:val="0"/>
              <w:adjustRightInd w:val="0"/>
              <w:rPr>
                <w:rFonts w:ascii="Arial" w:hAnsi="Arial" w:cs="Arial"/>
                <w:sz w:val="24"/>
                <w:szCs w:val="24"/>
              </w:rPr>
            </w:pPr>
            <w:r>
              <w:rPr>
                <w:rFonts w:ascii="Arial" w:hAnsi="Arial" w:cs="Arial"/>
                <w:sz w:val="24"/>
                <w:szCs w:val="24"/>
              </w:rPr>
              <w:t>Participant-Oriented</w:t>
            </w:r>
          </w:p>
        </w:tc>
        <w:tc>
          <w:tcPr>
            <w:tcW w:w="3544" w:type="dxa"/>
          </w:tcPr>
          <w:p w:rsidR="00CB3D01" w:rsidRPr="00CB3D01" w:rsidRDefault="00565155" w:rsidP="00CB3D01">
            <w:pPr>
              <w:pStyle w:val="ListParagraph"/>
              <w:numPr>
                <w:ilvl w:val="0"/>
                <w:numId w:val="20"/>
              </w:numPr>
              <w:autoSpaceDE w:val="0"/>
              <w:autoSpaceDN w:val="0"/>
              <w:adjustRightInd w:val="0"/>
              <w:rPr>
                <w:rFonts w:ascii="Arial" w:hAnsi="Arial" w:cs="Arial"/>
                <w:sz w:val="24"/>
                <w:szCs w:val="24"/>
              </w:rPr>
            </w:pPr>
            <w:r>
              <w:rPr>
                <w:rFonts w:ascii="Arial" w:hAnsi="Arial" w:cs="Arial"/>
                <w:sz w:val="24"/>
                <w:szCs w:val="24"/>
              </w:rPr>
              <w:t xml:space="preserve">Understanding and </w:t>
            </w:r>
            <w:r>
              <w:rPr>
                <w:rFonts w:ascii="Arial" w:hAnsi="Arial" w:cs="Arial"/>
                <w:sz w:val="24"/>
                <w:szCs w:val="24"/>
              </w:rPr>
              <w:lastRenderedPageBreak/>
              <w:t>portraying the complexities of programmatic activity</w:t>
            </w:r>
          </w:p>
        </w:tc>
        <w:tc>
          <w:tcPr>
            <w:tcW w:w="3372" w:type="dxa"/>
          </w:tcPr>
          <w:p w:rsidR="00CB3D01" w:rsidRPr="00CB3D01" w:rsidRDefault="00565155" w:rsidP="00CB3D01">
            <w:pPr>
              <w:pStyle w:val="ListParagraph"/>
              <w:numPr>
                <w:ilvl w:val="0"/>
                <w:numId w:val="20"/>
              </w:numPr>
              <w:autoSpaceDE w:val="0"/>
              <w:autoSpaceDN w:val="0"/>
              <w:adjustRightInd w:val="0"/>
              <w:rPr>
                <w:rFonts w:ascii="Arial" w:hAnsi="Arial" w:cs="Arial"/>
                <w:sz w:val="24"/>
                <w:szCs w:val="24"/>
              </w:rPr>
            </w:pPr>
            <w:r>
              <w:rPr>
                <w:rFonts w:ascii="Arial" w:hAnsi="Arial" w:cs="Arial"/>
                <w:sz w:val="24"/>
                <w:szCs w:val="24"/>
              </w:rPr>
              <w:lastRenderedPageBreak/>
              <w:t xml:space="preserve">Reflecting multiple </w:t>
            </w:r>
            <w:r>
              <w:rPr>
                <w:rFonts w:ascii="Arial" w:hAnsi="Arial" w:cs="Arial"/>
                <w:sz w:val="24"/>
                <w:szCs w:val="24"/>
              </w:rPr>
              <w:lastRenderedPageBreak/>
              <w:t xml:space="preserve">realities; use of inductive reasoning and discovery </w:t>
            </w:r>
          </w:p>
        </w:tc>
      </w:tr>
    </w:tbl>
    <w:p w:rsidR="00CB3D01" w:rsidRDefault="00CB3D01" w:rsidP="00D1239F">
      <w:pPr>
        <w:autoSpaceDE w:val="0"/>
        <w:autoSpaceDN w:val="0"/>
        <w:adjustRightInd w:val="0"/>
        <w:spacing w:after="0" w:line="240" w:lineRule="auto"/>
        <w:rPr>
          <w:rFonts w:ascii="Arial" w:hAnsi="Arial" w:cs="Arial"/>
          <w:sz w:val="24"/>
          <w:szCs w:val="24"/>
        </w:rPr>
      </w:pPr>
    </w:p>
    <w:p w:rsidR="006D2606" w:rsidRDefault="006D2606" w:rsidP="00EB3F6D">
      <w:pPr>
        <w:autoSpaceDE w:val="0"/>
        <w:autoSpaceDN w:val="0"/>
        <w:adjustRightInd w:val="0"/>
        <w:spacing w:after="0" w:line="240" w:lineRule="auto"/>
        <w:rPr>
          <w:rFonts w:ascii="Arial" w:hAnsi="Arial" w:cs="Arial"/>
          <w:b/>
          <w:sz w:val="24"/>
          <w:szCs w:val="24"/>
        </w:rPr>
      </w:pPr>
    </w:p>
    <w:p w:rsidR="00FE1371" w:rsidRDefault="00FE1371" w:rsidP="00EB3F6D">
      <w:pPr>
        <w:autoSpaceDE w:val="0"/>
        <w:autoSpaceDN w:val="0"/>
        <w:adjustRightInd w:val="0"/>
        <w:spacing w:after="0" w:line="240" w:lineRule="auto"/>
        <w:rPr>
          <w:rFonts w:ascii="Arial" w:hAnsi="Arial" w:cs="Arial"/>
          <w:b/>
          <w:sz w:val="24"/>
          <w:szCs w:val="24"/>
        </w:rPr>
      </w:pPr>
      <w:r>
        <w:rPr>
          <w:rFonts w:ascii="Arial" w:hAnsi="Arial" w:cs="Arial"/>
          <w:b/>
          <w:sz w:val="24"/>
          <w:szCs w:val="24"/>
        </w:rPr>
        <w:t>PART II</w:t>
      </w:r>
      <w:r w:rsidR="007B1B2C">
        <w:rPr>
          <w:rFonts w:ascii="Arial" w:hAnsi="Arial" w:cs="Arial"/>
          <w:b/>
          <w:sz w:val="24"/>
          <w:szCs w:val="24"/>
        </w:rPr>
        <w:t xml:space="preserve"> – Personal Response</w:t>
      </w:r>
    </w:p>
    <w:p w:rsidR="00421CD0" w:rsidRDefault="003F29FD" w:rsidP="00565155">
      <w:pPr>
        <w:spacing w:before="100" w:beforeAutospacing="1" w:after="100" w:afterAutospacing="1" w:line="240" w:lineRule="auto"/>
        <w:outlineLvl w:val="0"/>
        <w:rPr>
          <w:rFonts w:ascii="Arial" w:eastAsia="Times New Roman" w:hAnsi="Arial" w:cs="Arial"/>
          <w:color w:val="000000"/>
          <w:kern w:val="36"/>
          <w:sz w:val="24"/>
          <w:szCs w:val="24"/>
          <w:lang w:eastAsia="en-CA"/>
        </w:rPr>
      </w:pPr>
      <w:bookmarkStart w:id="0" w:name="program"/>
      <w:bookmarkEnd w:id="0"/>
      <w:r>
        <w:rPr>
          <w:rFonts w:ascii="Arial" w:eastAsia="Times New Roman" w:hAnsi="Arial" w:cs="Arial"/>
          <w:color w:val="000000"/>
          <w:kern w:val="36"/>
          <w:sz w:val="24"/>
          <w:szCs w:val="24"/>
          <w:lang w:eastAsia="en-CA"/>
        </w:rPr>
        <w:t>Based on this week’s readings, I am</w:t>
      </w:r>
      <w:r w:rsidR="00DC4789">
        <w:rPr>
          <w:rFonts w:ascii="Arial" w:eastAsia="Times New Roman" w:hAnsi="Arial" w:cs="Arial"/>
          <w:color w:val="000000"/>
          <w:kern w:val="36"/>
          <w:sz w:val="24"/>
          <w:szCs w:val="24"/>
          <w:lang w:eastAsia="en-CA"/>
        </w:rPr>
        <w:t xml:space="preserve"> drawn</w:t>
      </w:r>
      <w:r>
        <w:rPr>
          <w:rFonts w:ascii="Arial" w:eastAsia="Times New Roman" w:hAnsi="Arial" w:cs="Arial"/>
          <w:color w:val="000000"/>
          <w:kern w:val="36"/>
          <w:sz w:val="24"/>
          <w:szCs w:val="24"/>
          <w:lang w:eastAsia="en-CA"/>
        </w:rPr>
        <w:t xml:space="preserve"> much more to</w:t>
      </w:r>
      <w:r w:rsidR="00DC4789">
        <w:rPr>
          <w:rFonts w:ascii="Arial" w:eastAsia="Times New Roman" w:hAnsi="Arial" w:cs="Arial"/>
          <w:color w:val="000000"/>
          <w:kern w:val="36"/>
          <w:sz w:val="24"/>
          <w:szCs w:val="24"/>
          <w:lang w:eastAsia="en-CA"/>
        </w:rPr>
        <w:t xml:space="preserve"> chapter </w:t>
      </w:r>
      <w:r w:rsidR="00565155">
        <w:rPr>
          <w:rFonts w:ascii="Arial" w:eastAsia="Times New Roman" w:hAnsi="Arial" w:cs="Arial"/>
          <w:color w:val="000000"/>
          <w:kern w:val="36"/>
          <w:sz w:val="24"/>
          <w:szCs w:val="24"/>
          <w:lang w:eastAsia="en-CA"/>
        </w:rPr>
        <w:t xml:space="preserve">seven and the information presented on accreditation.  </w:t>
      </w:r>
      <w:r w:rsidR="008D32F2">
        <w:rPr>
          <w:rFonts w:ascii="Arial" w:eastAsia="Times New Roman" w:hAnsi="Arial" w:cs="Arial"/>
          <w:color w:val="000000"/>
          <w:kern w:val="36"/>
          <w:sz w:val="24"/>
          <w:szCs w:val="24"/>
          <w:lang w:eastAsia="en-CA"/>
        </w:rPr>
        <w:t xml:space="preserve">I have been made aware of accreditation </w:t>
      </w:r>
      <w:r w:rsidR="001B3905">
        <w:rPr>
          <w:rFonts w:ascii="Arial" w:eastAsia="Times New Roman" w:hAnsi="Arial" w:cs="Arial"/>
          <w:color w:val="000000"/>
          <w:kern w:val="36"/>
          <w:sz w:val="24"/>
          <w:szCs w:val="24"/>
          <w:lang w:eastAsia="en-CA"/>
        </w:rPr>
        <w:t>in my profession as a dental assistant.  T</w:t>
      </w:r>
      <w:r w:rsidR="008D32F2">
        <w:rPr>
          <w:rFonts w:ascii="Arial" w:eastAsia="Times New Roman" w:hAnsi="Arial" w:cs="Arial"/>
          <w:color w:val="000000"/>
          <w:kern w:val="36"/>
          <w:sz w:val="24"/>
          <w:szCs w:val="24"/>
          <w:lang w:eastAsia="en-CA"/>
        </w:rPr>
        <w:t>hrough my casual employment</w:t>
      </w:r>
      <w:r w:rsidR="001B3905">
        <w:rPr>
          <w:rFonts w:ascii="Arial" w:eastAsia="Times New Roman" w:hAnsi="Arial" w:cs="Arial"/>
          <w:color w:val="000000"/>
          <w:kern w:val="36"/>
          <w:sz w:val="24"/>
          <w:szCs w:val="24"/>
          <w:lang w:eastAsia="en-CA"/>
        </w:rPr>
        <w:t xml:space="preserve"> in the dental division at SIAST, I have become even more aware of the accreditation process and the standards expected at SIAST.</w:t>
      </w:r>
      <w:r w:rsidR="008D32F2">
        <w:rPr>
          <w:rFonts w:ascii="Arial" w:eastAsia="Times New Roman" w:hAnsi="Arial" w:cs="Arial"/>
          <w:color w:val="000000"/>
          <w:kern w:val="36"/>
          <w:sz w:val="24"/>
          <w:szCs w:val="24"/>
          <w:lang w:eastAsia="en-CA"/>
        </w:rPr>
        <w:t xml:space="preserve">  The dental assisting and dental hygi</w:t>
      </w:r>
      <w:r w:rsidR="008D1C20">
        <w:rPr>
          <w:rFonts w:ascii="Arial" w:eastAsia="Times New Roman" w:hAnsi="Arial" w:cs="Arial"/>
          <w:color w:val="000000"/>
          <w:kern w:val="36"/>
          <w:sz w:val="24"/>
          <w:szCs w:val="24"/>
          <w:lang w:eastAsia="en-CA"/>
        </w:rPr>
        <w:t>ene programs both are reviewed by an accreditation committee on a regular basis to ensure that they are meeting industry requirements.  Even though I kn</w:t>
      </w:r>
      <w:r w:rsidR="001B3905">
        <w:rPr>
          <w:rFonts w:ascii="Arial" w:eastAsia="Times New Roman" w:hAnsi="Arial" w:cs="Arial"/>
          <w:color w:val="000000"/>
          <w:kern w:val="36"/>
          <w:sz w:val="24"/>
          <w:szCs w:val="24"/>
          <w:lang w:eastAsia="en-CA"/>
        </w:rPr>
        <w:t>o</w:t>
      </w:r>
      <w:r w:rsidR="008D1C20">
        <w:rPr>
          <w:rFonts w:ascii="Arial" w:eastAsia="Times New Roman" w:hAnsi="Arial" w:cs="Arial"/>
          <w:color w:val="000000"/>
          <w:kern w:val="36"/>
          <w:sz w:val="24"/>
          <w:szCs w:val="24"/>
          <w:lang w:eastAsia="en-CA"/>
        </w:rPr>
        <w:t>w that the programs undergo accreditation reviews and that program requirements and procedures must adhere to accreditation standards, I lacked the formal information o</w:t>
      </w:r>
      <w:r w:rsidR="00C928A6">
        <w:rPr>
          <w:rFonts w:ascii="Arial" w:eastAsia="Times New Roman" w:hAnsi="Arial" w:cs="Arial"/>
          <w:color w:val="000000"/>
          <w:kern w:val="36"/>
          <w:sz w:val="24"/>
          <w:szCs w:val="24"/>
          <w:lang w:eastAsia="en-CA"/>
        </w:rPr>
        <w:t>n what accreditation actually is and what is involved in the process</w:t>
      </w:r>
      <w:r w:rsidR="008D1C20">
        <w:rPr>
          <w:rFonts w:ascii="Arial" w:eastAsia="Times New Roman" w:hAnsi="Arial" w:cs="Arial"/>
          <w:color w:val="000000"/>
          <w:kern w:val="36"/>
          <w:sz w:val="24"/>
          <w:szCs w:val="24"/>
          <w:lang w:eastAsia="en-CA"/>
        </w:rPr>
        <w:t>.  When I entered this class on</w:t>
      </w:r>
      <w:r w:rsidR="001B3905">
        <w:rPr>
          <w:rFonts w:ascii="Arial" w:eastAsia="Times New Roman" w:hAnsi="Arial" w:cs="Arial"/>
          <w:color w:val="000000"/>
          <w:kern w:val="36"/>
          <w:sz w:val="24"/>
          <w:szCs w:val="24"/>
          <w:lang w:eastAsia="en-CA"/>
        </w:rPr>
        <w:t xml:space="preserve"> program evaluation, I never considered</w:t>
      </w:r>
      <w:r w:rsidR="008D1C20">
        <w:rPr>
          <w:rFonts w:ascii="Arial" w:eastAsia="Times New Roman" w:hAnsi="Arial" w:cs="Arial"/>
          <w:color w:val="000000"/>
          <w:kern w:val="36"/>
          <w:sz w:val="24"/>
          <w:szCs w:val="24"/>
          <w:lang w:eastAsia="en-CA"/>
        </w:rPr>
        <w:t xml:space="preserve"> accreditation </w:t>
      </w:r>
      <w:r w:rsidR="001B3905">
        <w:rPr>
          <w:rFonts w:ascii="Arial" w:eastAsia="Times New Roman" w:hAnsi="Arial" w:cs="Arial"/>
          <w:color w:val="000000"/>
          <w:kern w:val="36"/>
          <w:sz w:val="24"/>
          <w:szCs w:val="24"/>
          <w:lang w:eastAsia="en-CA"/>
        </w:rPr>
        <w:t>with</w:t>
      </w:r>
      <w:r w:rsidR="008D1C20">
        <w:rPr>
          <w:rFonts w:ascii="Arial" w:eastAsia="Times New Roman" w:hAnsi="Arial" w:cs="Arial"/>
          <w:color w:val="000000"/>
          <w:kern w:val="36"/>
          <w:sz w:val="24"/>
          <w:szCs w:val="24"/>
          <w:lang w:eastAsia="en-CA"/>
        </w:rPr>
        <w:t xml:space="preserve"> the context of being a form of program evaluation.  </w:t>
      </w:r>
    </w:p>
    <w:p w:rsidR="00780AC3" w:rsidRDefault="00C928A6" w:rsidP="00565155">
      <w:pPr>
        <w:spacing w:before="100" w:beforeAutospacing="1" w:after="100" w:afterAutospacing="1" w:line="240" w:lineRule="auto"/>
        <w:outlineLvl w:val="0"/>
        <w:rPr>
          <w:rFonts w:ascii="Arial" w:eastAsia="Times New Roman" w:hAnsi="Arial" w:cs="Arial"/>
          <w:color w:val="000000"/>
          <w:kern w:val="36"/>
          <w:sz w:val="24"/>
          <w:szCs w:val="24"/>
          <w:lang w:eastAsia="en-CA"/>
        </w:rPr>
      </w:pPr>
      <w:r>
        <w:rPr>
          <w:rFonts w:ascii="Arial" w:eastAsia="Times New Roman" w:hAnsi="Arial" w:cs="Arial"/>
          <w:color w:val="000000"/>
          <w:kern w:val="36"/>
          <w:sz w:val="24"/>
          <w:szCs w:val="24"/>
          <w:lang w:eastAsia="en-CA"/>
        </w:rPr>
        <w:t xml:space="preserve">As I read, </w:t>
      </w:r>
      <w:r w:rsidR="00780AC3">
        <w:rPr>
          <w:rFonts w:ascii="Arial" w:eastAsia="Times New Roman" w:hAnsi="Arial" w:cs="Arial"/>
          <w:color w:val="000000"/>
          <w:kern w:val="36"/>
          <w:sz w:val="24"/>
          <w:szCs w:val="24"/>
          <w:lang w:eastAsia="en-CA"/>
        </w:rPr>
        <w:t>I was very intrigued to learn the historical focus of accreditation including the adequacy of facilities, qualifications of staff, and perceived appropriateness of the processes used, rather than program outcomes.  As I reflect on the methods SIAST uses for accreditation in the dental programs I see many of these elements being evaluated.  However, I really see Scriven’s distinctive features of contemporary accreditation which include:</w:t>
      </w:r>
    </w:p>
    <w:p w:rsidR="00780AC3" w:rsidRDefault="00780AC3" w:rsidP="00780AC3">
      <w:pPr>
        <w:pStyle w:val="ListParagraph"/>
        <w:numPr>
          <w:ilvl w:val="0"/>
          <w:numId w:val="22"/>
        </w:numPr>
        <w:spacing w:before="100" w:beforeAutospacing="1" w:after="100" w:afterAutospacing="1" w:line="240" w:lineRule="auto"/>
        <w:outlineLvl w:val="0"/>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A set of published standards</w:t>
      </w:r>
    </w:p>
    <w:p w:rsidR="00780AC3" w:rsidRDefault="00780AC3" w:rsidP="00780AC3">
      <w:pPr>
        <w:pStyle w:val="ListParagraph"/>
        <w:numPr>
          <w:ilvl w:val="0"/>
          <w:numId w:val="22"/>
        </w:numPr>
        <w:spacing w:before="100" w:beforeAutospacing="1" w:after="100" w:afterAutospacing="1" w:line="240" w:lineRule="auto"/>
        <w:outlineLvl w:val="0"/>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A self-study by the institution</w:t>
      </w:r>
    </w:p>
    <w:p w:rsidR="00780AC3" w:rsidRDefault="00780AC3" w:rsidP="00780AC3">
      <w:pPr>
        <w:pStyle w:val="ListParagraph"/>
        <w:numPr>
          <w:ilvl w:val="0"/>
          <w:numId w:val="22"/>
        </w:numPr>
        <w:spacing w:before="100" w:beforeAutospacing="1" w:after="100" w:afterAutospacing="1" w:line="240" w:lineRule="auto"/>
        <w:outlineLvl w:val="0"/>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A team of external assessors</w:t>
      </w:r>
    </w:p>
    <w:p w:rsidR="00780AC3" w:rsidRDefault="00780AC3" w:rsidP="00780AC3">
      <w:pPr>
        <w:pStyle w:val="ListParagraph"/>
        <w:numPr>
          <w:ilvl w:val="0"/>
          <w:numId w:val="22"/>
        </w:numPr>
        <w:spacing w:before="100" w:beforeAutospacing="1" w:after="100" w:afterAutospacing="1" w:line="240" w:lineRule="auto"/>
        <w:outlineLvl w:val="0"/>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A site visit</w:t>
      </w:r>
    </w:p>
    <w:p w:rsidR="00780AC3" w:rsidRDefault="00780AC3" w:rsidP="00780AC3">
      <w:pPr>
        <w:pStyle w:val="ListParagraph"/>
        <w:numPr>
          <w:ilvl w:val="0"/>
          <w:numId w:val="22"/>
        </w:numPr>
        <w:spacing w:before="100" w:beforeAutospacing="1" w:after="100" w:afterAutospacing="1" w:line="240" w:lineRule="auto"/>
        <w:outlineLvl w:val="0"/>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A site-team report on the institution including recommendations</w:t>
      </w:r>
    </w:p>
    <w:p w:rsidR="00780AC3" w:rsidRDefault="00780AC3" w:rsidP="00780AC3">
      <w:pPr>
        <w:pStyle w:val="ListParagraph"/>
        <w:numPr>
          <w:ilvl w:val="0"/>
          <w:numId w:val="22"/>
        </w:numPr>
        <w:spacing w:before="100" w:beforeAutospacing="1" w:after="100" w:afterAutospacing="1" w:line="240" w:lineRule="auto"/>
        <w:outlineLvl w:val="0"/>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A review report by a distinguished panel</w:t>
      </w:r>
    </w:p>
    <w:p w:rsidR="00780AC3" w:rsidRDefault="00780AC3" w:rsidP="00780AC3">
      <w:pPr>
        <w:pStyle w:val="ListParagraph"/>
        <w:numPr>
          <w:ilvl w:val="0"/>
          <w:numId w:val="22"/>
        </w:numPr>
        <w:spacing w:before="100" w:beforeAutospacing="1" w:after="100" w:afterAutospacing="1" w:line="240" w:lineRule="auto"/>
        <w:outlineLvl w:val="0"/>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A final report and accreditation decision by the accrediting body (p. 117).</w:t>
      </w:r>
    </w:p>
    <w:p w:rsidR="00780AC3" w:rsidRPr="00780AC3" w:rsidRDefault="00780AC3" w:rsidP="00780AC3">
      <w:pPr>
        <w:spacing w:before="100" w:beforeAutospacing="1" w:after="100" w:afterAutospacing="1" w:line="240" w:lineRule="auto"/>
        <w:outlineLvl w:val="0"/>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As noted, not every accreditation system follows this prescription completely</w:t>
      </w:r>
      <w:r w:rsidR="001B3905">
        <w:rPr>
          <w:rFonts w:ascii="Arial" w:eastAsia="Times New Roman" w:hAnsi="Arial" w:cs="Arial"/>
          <w:color w:val="000000"/>
          <w:sz w:val="24"/>
          <w:szCs w:val="24"/>
          <w:lang w:eastAsia="en-CA"/>
        </w:rPr>
        <w:t xml:space="preserve">.  However, </w:t>
      </w:r>
      <w:r>
        <w:rPr>
          <w:rFonts w:ascii="Arial" w:eastAsia="Times New Roman" w:hAnsi="Arial" w:cs="Arial"/>
          <w:color w:val="000000"/>
          <w:sz w:val="24"/>
          <w:szCs w:val="24"/>
          <w:lang w:eastAsia="en-CA"/>
        </w:rPr>
        <w:t xml:space="preserve">this is an excellent description </w:t>
      </w:r>
      <w:r w:rsidR="001B3905">
        <w:rPr>
          <w:rFonts w:ascii="Arial" w:eastAsia="Times New Roman" w:hAnsi="Arial" w:cs="Arial"/>
          <w:color w:val="000000"/>
          <w:sz w:val="24"/>
          <w:szCs w:val="24"/>
          <w:lang w:eastAsia="en-CA"/>
        </w:rPr>
        <w:t xml:space="preserve">of most systems today.  In the dental area, the programs have a set of published standards that are also shared with the provincial licensing authorities.  I am unsure how extensive the self study is of the program is, because many of the staff have been employed in the area for 20-30 years.  I am aware thought that a team of external assessors exists and a site visit is conducted approximately once every four years.  Following the last visit, a very thorough site report was completed including minimal recommendations for the program areas.  The recommendations were mainly focused on infection control procedures, occupational health and safety, and ergonomic issues.  </w:t>
      </w:r>
    </w:p>
    <w:p w:rsidR="001B3905" w:rsidRDefault="00C928A6" w:rsidP="00421CD0">
      <w:pPr>
        <w:spacing w:after="0" w:line="240" w:lineRule="auto"/>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 xml:space="preserve">Now that I am more aware of accreditation and its relationship with program evaluation, I plan to inquire about the process with respect to the dental division.  I also hope that I </w:t>
      </w:r>
      <w:r>
        <w:rPr>
          <w:rFonts w:ascii="Arial" w:eastAsia="Times New Roman" w:hAnsi="Arial" w:cs="Arial"/>
          <w:color w:val="000000"/>
          <w:sz w:val="24"/>
          <w:szCs w:val="24"/>
          <w:lang w:eastAsia="en-CA"/>
        </w:rPr>
        <w:lastRenderedPageBreak/>
        <w:t xml:space="preserve">can be a participant in the next site visit now that I am employed on a casual basis.  Considering I still spend time working directly in industry (private practice), I feel that my input at a site want and I am also aware of the program is actually offering.  Potentially my input may be able to close some of the gaps in information that exist.  </w:t>
      </w:r>
    </w:p>
    <w:p w:rsidR="00C928A6" w:rsidRDefault="00C928A6" w:rsidP="00421CD0">
      <w:pPr>
        <w:spacing w:after="0" w:line="240" w:lineRule="auto"/>
        <w:rPr>
          <w:rFonts w:ascii="Arial" w:eastAsia="Times New Roman" w:hAnsi="Arial" w:cs="Arial"/>
          <w:color w:val="000000"/>
          <w:sz w:val="24"/>
          <w:szCs w:val="24"/>
          <w:lang w:eastAsia="en-CA"/>
        </w:rPr>
      </w:pPr>
    </w:p>
    <w:p w:rsidR="00497C02" w:rsidRDefault="00497C02" w:rsidP="00497C02">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References</w:t>
      </w:r>
    </w:p>
    <w:p w:rsidR="00497C02" w:rsidRDefault="00497C02" w:rsidP="00497C02">
      <w:pPr>
        <w:autoSpaceDE w:val="0"/>
        <w:autoSpaceDN w:val="0"/>
        <w:adjustRightInd w:val="0"/>
        <w:spacing w:after="0" w:line="240" w:lineRule="auto"/>
        <w:jc w:val="center"/>
        <w:rPr>
          <w:rFonts w:ascii="Arial" w:hAnsi="Arial" w:cs="Arial"/>
          <w:b/>
          <w:sz w:val="24"/>
          <w:szCs w:val="24"/>
        </w:rPr>
      </w:pPr>
    </w:p>
    <w:p w:rsidR="00497C02" w:rsidRDefault="008B0BC9" w:rsidP="00497C02">
      <w:pPr>
        <w:autoSpaceDE w:val="0"/>
        <w:autoSpaceDN w:val="0"/>
        <w:adjustRightInd w:val="0"/>
        <w:spacing w:after="0" w:line="240" w:lineRule="auto"/>
        <w:ind w:left="720" w:hanging="720"/>
        <w:rPr>
          <w:rFonts w:ascii="Arial" w:hAnsi="Arial" w:cs="Arial"/>
          <w:sz w:val="24"/>
          <w:szCs w:val="24"/>
        </w:rPr>
      </w:pPr>
      <w:r>
        <w:rPr>
          <w:rFonts w:ascii="Arial" w:hAnsi="Arial" w:cs="Arial"/>
          <w:sz w:val="24"/>
          <w:szCs w:val="24"/>
        </w:rPr>
        <w:t xml:space="preserve">Fitzpatrick, J.L., Sanders, J.R., &amp; Worthern, B.R. (2004).  </w:t>
      </w:r>
      <w:r w:rsidR="00134C47">
        <w:rPr>
          <w:rFonts w:ascii="Arial" w:hAnsi="Arial" w:cs="Arial"/>
          <w:i/>
          <w:sz w:val="24"/>
          <w:szCs w:val="24"/>
        </w:rPr>
        <w:t>Program evaluation: Alterna</w:t>
      </w:r>
      <w:r w:rsidRPr="008B0BC9">
        <w:rPr>
          <w:rFonts w:ascii="Arial" w:hAnsi="Arial" w:cs="Arial"/>
          <w:i/>
          <w:sz w:val="24"/>
          <w:szCs w:val="24"/>
        </w:rPr>
        <w:t>tive approaches and practical guidelines.</w:t>
      </w:r>
      <w:r>
        <w:rPr>
          <w:rFonts w:ascii="Arial" w:hAnsi="Arial" w:cs="Arial"/>
          <w:sz w:val="24"/>
          <w:szCs w:val="24"/>
        </w:rPr>
        <w:t xml:space="preserve"> Boston:  Pearson Education, Inc.  </w:t>
      </w:r>
    </w:p>
    <w:sectPr w:rsidR="00497C02" w:rsidSect="0014295A">
      <w:head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1C20" w:rsidRDefault="008D1C20" w:rsidP="000407CB">
      <w:pPr>
        <w:spacing w:after="0" w:line="240" w:lineRule="auto"/>
      </w:pPr>
      <w:r>
        <w:separator/>
      </w:r>
    </w:p>
  </w:endnote>
  <w:endnote w:type="continuationSeparator" w:id="1">
    <w:p w:rsidR="008D1C20" w:rsidRDefault="008D1C20" w:rsidP="000407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1C20" w:rsidRDefault="008D1C20" w:rsidP="000407CB">
      <w:pPr>
        <w:spacing w:after="0" w:line="240" w:lineRule="auto"/>
      </w:pPr>
      <w:r>
        <w:separator/>
      </w:r>
    </w:p>
  </w:footnote>
  <w:footnote w:type="continuationSeparator" w:id="1">
    <w:p w:rsidR="008D1C20" w:rsidRDefault="008D1C20" w:rsidP="000407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1C20" w:rsidRDefault="008D1C20">
    <w:pPr>
      <w:pStyle w:val="Header"/>
    </w:pPr>
    <w:r w:rsidRPr="00E70725">
      <w:rPr>
        <w:noProof/>
        <w:lang w:val="en-US" w:eastAsia="zh-TW"/>
      </w:rPr>
      <w:pict>
        <v:shapetype id="_x0000_t202" coordsize="21600,21600" o:spt="202" path="m,l,21600r21600,l21600,xe">
          <v:stroke joinstyle="miter"/>
          <v:path gradientshapeok="t" o:connecttype="rect"/>
        </v:shapetype>
        <v:shape id="_x0000_s2050"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8D1C20" w:rsidRDefault="008D1C20">
                <w:pPr>
                  <w:spacing w:after="0" w:line="240" w:lineRule="auto"/>
                  <w:jc w:val="right"/>
                </w:pPr>
                <w:r>
                  <w:t>EAHR 811 Response - McKay</w:t>
                </w:r>
              </w:p>
            </w:txbxContent>
          </v:textbox>
          <w10:wrap anchorx="margin" anchory="margin"/>
        </v:shape>
      </w:pict>
    </w:r>
    <w:r w:rsidRPr="00E70725">
      <w:rPr>
        <w:noProof/>
        <w:lang w:val="en-US" w:eastAsia="zh-TW"/>
      </w:rPr>
      <w:pict>
        <v:shape id="_x0000_s2049" type="#_x0000_t202" style="position:absolute;margin-left:5176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8D1C20" w:rsidRDefault="008D1C20">
                <w:pPr>
                  <w:spacing w:after="0" w:line="240" w:lineRule="auto"/>
                  <w:rPr>
                    <w:color w:val="FFFFFF" w:themeColor="background1"/>
                  </w:rPr>
                </w:pPr>
                <w:fldSimple w:instr=" PAGE   \* MERGEFORMAT ">
                  <w:r w:rsidR="00C928A6" w:rsidRPr="00C928A6">
                    <w:rPr>
                      <w:noProof/>
                      <w:color w:val="FFFFFF" w:themeColor="background1"/>
                    </w:rPr>
                    <w:t>4</w:t>
                  </w:r>
                </w:fldSimple>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9516D"/>
    <w:multiLevelType w:val="hybridMultilevel"/>
    <w:tmpl w:val="94D4EEE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E7B2EFC"/>
    <w:multiLevelType w:val="hybridMultilevel"/>
    <w:tmpl w:val="13BC982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13001A6C"/>
    <w:multiLevelType w:val="hybridMultilevel"/>
    <w:tmpl w:val="38CE82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49379BD"/>
    <w:multiLevelType w:val="hybridMultilevel"/>
    <w:tmpl w:val="1FB6ECB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5801420"/>
    <w:multiLevelType w:val="hybridMultilevel"/>
    <w:tmpl w:val="2A265E3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8A11433"/>
    <w:multiLevelType w:val="hybridMultilevel"/>
    <w:tmpl w:val="3F9CC0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1A916D30"/>
    <w:multiLevelType w:val="hybridMultilevel"/>
    <w:tmpl w:val="724E78F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27E70883"/>
    <w:multiLevelType w:val="hybridMultilevel"/>
    <w:tmpl w:val="AFD4D0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8A86CF2"/>
    <w:multiLevelType w:val="hybridMultilevel"/>
    <w:tmpl w:val="AAB6A644"/>
    <w:lvl w:ilvl="0" w:tplc="C4966AF2">
      <w:start w:val="2"/>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355A042D"/>
    <w:multiLevelType w:val="hybridMultilevel"/>
    <w:tmpl w:val="AB0C784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nsid w:val="37A1550E"/>
    <w:multiLevelType w:val="hybridMultilevel"/>
    <w:tmpl w:val="8288FFA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3A1E62F3"/>
    <w:multiLevelType w:val="hybridMultilevel"/>
    <w:tmpl w:val="C52261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4471535D"/>
    <w:multiLevelType w:val="hybridMultilevel"/>
    <w:tmpl w:val="518AAC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4D8F3461"/>
    <w:multiLevelType w:val="hybridMultilevel"/>
    <w:tmpl w:val="8AA417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50330696"/>
    <w:multiLevelType w:val="hybridMultilevel"/>
    <w:tmpl w:val="D2DCD37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62046C10"/>
    <w:multiLevelType w:val="hybridMultilevel"/>
    <w:tmpl w:val="F02C6E9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62941D82"/>
    <w:multiLevelType w:val="hybridMultilevel"/>
    <w:tmpl w:val="E8D49F3E"/>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nsid w:val="63CF372E"/>
    <w:multiLevelType w:val="hybridMultilevel"/>
    <w:tmpl w:val="3600175A"/>
    <w:lvl w:ilvl="0" w:tplc="975ADAB4">
      <w:start w:val="2"/>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6545550F"/>
    <w:multiLevelType w:val="hybridMultilevel"/>
    <w:tmpl w:val="C4E065C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9">
    <w:nsid w:val="6C136759"/>
    <w:multiLevelType w:val="hybridMultilevel"/>
    <w:tmpl w:val="13BC982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73C22491"/>
    <w:multiLevelType w:val="hybridMultilevel"/>
    <w:tmpl w:val="FA2AA11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73F60620"/>
    <w:multiLevelType w:val="hybridMultilevel"/>
    <w:tmpl w:val="425C24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5"/>
  </w:num>
  <w:num w:numId="4">
    <w:abstractNumId w:val="14"/>
  </w:num>
  <w:num w:numId="5">
    <w:abstractNumId w:val="16"/>
  </w:num>
  <w:num w:numId="6">
    <w:abstractNumId w:val="1"/>
  </w:num>
  <w:num w:numId="7">
    <w:abstractNumId w:val="8"/>
  </w:num>
  <w:num w:numId="8">
    <w:abstractNumId w:val="17"/>
  </w:num>
  <w:num w:numId="9">
    <w:abstractNumId w:val="4"/>
  </w:num>
  <w:num w:numId="10">
    <w:abstractNumId w:val="19"/>
  </w:num>
  <w:num w:numId="11">
    <w:abstractNumId w:val="7"/>
  </w:num>
  <w:num w:numId="12">
    <w:abstractNumId w:val="11"/>
  </w:num>
  <w:num w:numId="13">
    <w:abstractNumId w:val="20"/>
  </w:num>
  <w:num w:numId="14">
    <w:abstractNumId w:val="6"/>
  </w:num>
  <w:num w:numId="15">
    <w:abstractNumId w:val="10"/>
  </w:num>
  <w:num w:numId="16">
    <w:abstractNumId w:val="21"/>
  </w:num>
  <w:num w:numId="17">
    <w:abstractNumId w:val="2"/>
  </w:num>
  <w:num w:numId="18">
    <w:abstractNumId w:val="13"/>
  </w:num>
  <w:num w:numId="19">
    <w:abstractNumId w:val="12"/>
  </w:num>
  <w:num w:numId="20">
    <w:abstractNumId w:val="18"/>
  </w:num>
  <w:num w:numId="21">
    <w:abstractNumId w:val="9"/>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D159F5"/>
    <w:rsid w:val="000011EA"/>
    <w:rsid w:val="000226B1"/>
    <w:rsid w:val="000407CB"/>
    <w:rsid w:val="00057FCC"/>
    <w:rsid w:val="0006717E"/>
    <w:rsid w:val="000820DF"/>
    <w:rsid w:val="0008473B"/>
    <w:rsid w:val="000868E9"/>
    <w:rsid w:val="000B7E4B"/>
    <w:rsid w:val="000C39CB"/>
    <w:rsid w:val="000F39F4"/>
    <w:rsid w:val="00103A62"/>
    <w:rsid w:val="00134C47"/>
    <w:rsid w:val="0014295A"/>
    <w:rsid w:val="001665EE"/>
    <w:rsid w:val="00173D4E"/>
    <w:rsid w:val="00176CCF"/>
    <w:rsid w:val="001A18AB"/>
    <w:rsid w:val="001B3905"/>
    <w:rsid w:val="001C66F4"/>
    <w:rsid w:val="001F28E5"/>
    <w:rsid w:val="00226458"/>
    <w:rsid w:val="00227672"/>
    <w:rsid w:val="002F3A8C"/>
    <w:rsid w:val="00304802"/>
    <w:rsid w:val="00391543"/>
    <w:rsid w:val="003B627C"/>
    <w:rsid w:val="003F29FD"/>
    <w:rsid w:val="00421CD0"/>
    <w:rsid w:val="00481B72"/>
    <w:rsid w:val="00492903"/>
    <w:rsid w:val="00497C02"/>
    <w:rsid w:val="00530DF9"/>
    <w:rsid w:val="00544B86"/>
    <w:rsid w:val="00553158"/>
    <w:rsid w:val="00565155"/>
    <w:rsid w:val="00583941"/>
    <w:rsid w:val="005844E7"/>
    <w:rsid w:val="005E60F2"/>
    <w:rsid w:val="005F555A"/>
    <w:rsid w:val="005F7118"/>
    <w:rsid w:val="005F7CE1"/>
    <w:rsid w:val="00623FED"/>
    <w:rsid w:val="00652EFE"/>
    <w:rsid w:val="0065655F"/>
    <w:rsid w:val="00657CD5"/>
    <w:rsid w:val="00690F48"/>
    <w:rsid w:val="006974C3"/>
    <w:rsid w:val="006B34C4"/>
    <w:rsid w:val="006D2606"/>
    <w:rsid w:val="006E6368"/>
    <w:rsid w:val="00755958"/>
    <w:rsid w:val="00780AC3"/>
    <w:rsid w:val="007A3998"/>
    <w:rsid w:val="007B0B98"/>
    <w:rsid w:val="007B1B2C"/>
    <w:rsid w:val="007C77F0"/>
    <w:rsid w:val="00804E6C"/>
    <w:rsid w:val="0080644C"/>
    <w:rsid w:val="00851839"/>
    <w:rsid w:val="00867925"/>
    <w:rsid w:val="008A052D"/>
    <w:rsid w:val="008B0BC9"/>
    <w:rsid w:val="008D1C20"/>
    <w:rsid w:val="008D32F2"/>
    <w:rsid w:val="009168B1"/>
    <w:rsid w:val="00921358"/>
    <w:rsid w:val="0093470D"/>
    <w:rsid w:val="00954EEC"/>
    <w:rsid w:val="009726DC"/>
    <w:rsid w:val="009F2B0A"/>
    <w:rsid w:val="00A309EC"/>
    <w:rsid w:val="00A56AEE"/>
    <w:rsid w:val="00A652C3"/>
    <w:rsid w:val="00A908EF"/>
    <w:rsid w:val="00AA3B44"/>
    <w:rsid w:val="00B338AA"/>
    <w:rsid w:val="00BF1B5C"/>
    <w:rsid w:val="00C14FEC"/>
    <w:rsid w:val="00C20104"/>
    <w:rsid w:val="00C64CFE"/>
    <w:rsid w:val="00C867E0"/>
    <w:rsid w:val="00C928A6"/>
    <w:rsid w:val="00CA159D"/>
    <w:rsid w:val="00CB3D01"/>
    <w:rsid w:val="00D1239F"/>
    <w:rsid w:val="00D159F5"/>
    <w:rsid w:val="00DB3E56"/>
    <w:rsid w:val="00DC4789"/>
    <w:rsid w:val="00DF7C4C"/>
    <w:rsid w:val="00E27580"/>
    <w:rsid w:val="00E45103"/>
    <w:rsid w:val="00E70725"/>
    <w:rsid w:val="00E76A77"/>
    <w:rsid w:val="00E94BE0"/>
    <w:rsid w:val="00E95AB6"/>
    <w:rsid w:val="00EA0FDB"/>
    <w:rsid w:val="00EB3F6D"/>
    <w:rsid w:val="00EB639F"/>
    <w:rsid w:val="00EC30B4"/>
    <w:rsid w:val="00EE6648"/>
    <w:rsid w:val="00EF41E2"/>
    <w:rsid w:val="00F11CCB"/>
    <w:rsid w:val="00F7749B"/>
    <w:rsid w:val="00FA27C9"/>
    <w:rsid w:val="00FC255A"/>
    <w:rsid w:val="00FE1371"/>
    <w:rsid w:val="00FE3B6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95A"/>
  </w:style>
  <w:style w:type="paragraph" w:styleId="Heading1">
    <w:name w:val="heading 1"/>
    <w:basedOn w:val="Normal"/>
    <w:link w:val="Heading1Char"/>
    <w:uiPriority w:val="9"/>
    <w:qFormat/>
    <w:rsid w:val="00553158"/>
    <w:pPr>
      <w:spacing w:before="100" w:beforeAutospacing="1" w:after="100" w:afterAutospacing="1" w:line="240" w:lineRule="auto"/>
      <w:outlineLvl w:val="0"/>
    </w:pPr>
    <w:rPr>
      <w:rFonts w:ascii="Arial" w:eastAsia="Times New Roman" w:hAnsi="Arial" w:cs="Arial"/>
      <w:color w:val="000000"/>
      <w:kern w:val="36"/>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DF9"/>
    <w:pPr>
      <w:ind w:left="720"/>
      <w:contextualSpacing/>
    </w:pPr>
  </w:style>
  <w:style w:type="paragraph" w:styleId="Header">
    <w:name w:val="header"/>
    <w:basedOn w:val="Normal"/>
    <w:link w:val="HeaderChar"/>
    <w:uiPriority w:val="99"/>
    <w:semiHidden/>
    <w:unhideWhenUsed/>
    <w:rsid w:val="000407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07CB"/>
  </w:style>
  <w:style w:type="paragraph" w:styleId="Footer">
    <w:name w:val="footer"/>
    <w:basedOn w:val="Normal"/>
    <w:link w:val="FooterChar"/>
    <w:uiPriority w:val="99"/>
    <w:semiHidden/>
    <w:unhideWhenUsed/>
    <w:rsid w:val="000407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07CB"/>
  </w:style>
  <w:style w:type="table" w:styleId="TableGrid">
    <w:name w:val="Table Grid"/>
    <w:basedOn w:val="TableNormal"/>
    <w:uiPriority w:val="59"/>
    <w:rsid w:val="00E76A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8B0BC9"/>
    <w:rPr>
      <w:b/>
      <w:bCs/>
    </w:rPr>
  </w:style>
  <w:style w:type="character" w:customStyle="1" w:styleId="Heading1Char">
    <w:name w:val="Heading 1 Char"/>
    <w:basedOn w:val="DefaultParagraphFont"/>
    <w:link w:val="Heading1"/>
    <w:uiPriority w:val="9"/>
    <w:rsid w:val="00553158"/>
    <w:rPr>
      <w:rFonts w:ascii="Arial" w:eastAsia="Times New Roman" w:hAnsi="Arial" w:cs="Arial"/>
      <w:color w:val="000000"/>
      <w:kern w:val="36"/>
      <w:sz w:val="24"/>
      <w:szCs w:val="24"/>
      <w:lang w:eastAsia="en-CA"/>
    </w:rPr>
  </w:style>
  <w:style w:type="paragraph" w:styleId="NormalWeb">
    <w:name w:val="Normal (Web)"/>
    <w:basedOn w:val="Normal"/>
    <w:uiPriority w:val="99"/>
    <w:semiHidden/>
    <w:unhideWhenUsed/>
    <w:rsid w:val="0055315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5F7118"/>
    <w:rPr>
      <w:color w:val="0000FF" w:themeColor="hyperlink"/>
      <w:u w:val="single"/>
    </w:rPr>
  </w:style>
  <w:style w:type="character" w:styleId="FollowedHyperlink">
    <w:name w:val="FollowedHyperlink"/>
    <w:basedOn w:val="DefaultParagraphFont"/>
    <w:uiPriority w:val="99"/>
    <w:semiHidden/>
    <w:unhideWhenUsed/>
    <w:rsid w:val="0080644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05986049">
      <w:bodyDiv w:val="1"/>
      <w:marLeft w:val="0"/>
      <w:marRight w:val="0"/>
      <w:marTop w:val="0"/>
      <w:marBottom w:val="0"/>
      <w:divBdr>
        <w:top w:val="none" w:sz="0" w:space="0" w:color="auto"/>
        <w:left w:val="none" w:sz="0" w:space="0" w:color="auto"/>
        <w:bottom w:val="none" w:sz="0" w:space="0" w:color="auto"/>
        <w:right w:val="none" w:sz="0" w:space="0" w:color="auto"/>
      </w:divBdr>
      <w:divsChild>
        <w:div w:id="1328167796">
          <w:marLeft w:val="150"/>
          <w:marRight w:val="0"/>
          <w:marTop w:val="0"/>
          <w:marBottom w:val="0"/>
          <w:divBdr>
            <w:top w:val="none" w:sz="0" w:space="0" w:color="auto"/>
            <w:left w:val="none" w:sz="0" w:space="0" w:color="auto"/>
            <w:bottom w:val="none" w:sz="0" w:space="0" w:color="auto"/>
            <w:right w:val="none" w:sz="0" w:space="0" w:color="auto"/>
          </w:divBdr>
        </w:div>
      </w:divsChild>
    </w:div>
    <w:div w:id="2133207625">
      <w:bodyDiv w:val="1"/>
      <w:marLeft w:val="0"/>
      <w:marRight w:val="0"/>
      <w:marTop w:val="0"/>
      <w:marBottom w:val="0"/>
      <w:divBdr>
        <w:top w:val="none" w:sz="0" w:space="0" w:color="auto"/>
        <w:left w:val="none" w:sz="0" w:space="0" w:color="auto"/>
        <w:bottom w:val="none" w:sz="0" w:space="0" w:color="auto"/>
        <w:right w:val="none" w:sz="0" w:space="0" w:color="auto"/>
      </w:divBdr>
      <w:divsChild>
        <w:div w:id="625235056">
          <w:marLeft w:val="0"/>
          <w:marRight w:val="0"/>
          <w:marTop w:val="0"/>
          <w:marBottom w:val="0"/>
          <w:divBdr>
            <w:top w:val="none" w:sz="0" w:space="0" w:color="auto"/>
            <w:left w:val="none" w:sz="0" w:space="0" w:color="auto"/>
            <w:bottom w:val="none" w:sz="0" w:space="0" w:color="auto"/>
            <w:right w:val="none" w:sz="0" w:space="0" w:color="auto"/>
          </w:divBdr>
          <w:divsChild>
            <w:div w:id="1585383265">
              <w:marLeft w:val="0"/>
              <w:marRight w:val="0"/>
              <w:marTop w:val="0"/>
              <w:marBottom w:val="0"/>
              <w:divBdr>
                <w:top w:val="none" w:sz="0" w:space="0" w:color="auto"/>
                <w:left w:val="none" w:sz="0" w:space="0" w:color="auto"/>
                <w:bottom w:val="none" w:sz="0" w:space="0" w:color="auto"/>
                <w:right w:val="none" w:sz="0" w:space="0" w:color="auto"/>
              </w:divBdr>
            </w:div>
          </w:divsChild>
        </w:div>
        <w:div w:id="977759059">
          <w:marLeft w:val="0"/>
          <w:marRight w:val="0"/>
          <w:marTop w:val="0"/>
          <w:marBottom w:val="0"/>
          <w:divBdr>
            <w:top w:val="none" w:sz="0" w:space="0" w:color="auto"/>
            <w:left w:val="none" w:sz="0" w:space="0" w:color="auto"/>
            <w:bottom w:val="none" w:sz="0" w:space="0" w:color="auto"/>
            <w:right w:val="none" w:sz="0" w:space="0" w:color="auto"/>
          </w:divBdr>
          <w:divsChild>
            <w:div w:id="154818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05B4C-F87D-4644-96DE-3BDF57F82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4</Pages>
  <Words>1193</Words>
  <Characters>6804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SIAST</dc:creator>
  <cp:lastModifiedBy>Robin</cp:lastModifiedBy>
  <cp:revision>9</cp:revision>
  <dcterms:created xsi:type="dcterms:W3CDTF">2009-05-23T03:17:00Z</dcterms:created>
  <dcterms:modified xsi:type="dcterms:W3CDTF">2009-05-23T06:33:00Z</dcterms:modified>
</cp:coreProperties>
</file>